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543DB" w14:textId="77777777" w:rsidR="00F50365" w:rsidRDefault="00F50365">
      <w:pPr>
        <w:ind w:firstLineChars="0" w:firstLine="0"/>
        <w:jc w:val="center"/>
        <w:rPr>
          <w:rFonts w:ascii="黑体" w:eastAsia="黑体"/>
          <w:sz w:val="44"/>
          <w:szCs w:val="52"/>
        </w:rPr>
      </w:pPr>
      <w:bookmarkStart w:id="0" w:name="_Toc133603540"/>
      <w:bookmarkStart w:id="1" w:name="_Toc494528968"/>
    </w:p>
    <w:p w14:paraId="27F9107C" w14:textId="77777777" w:rsidR="00F50365" w:rsidRDefault="00F50365">
      <w:pPr>
        <w:ind w:firstLineChars="0" w:firstLine="0"/>
        <w:jc w:val="center"/>
        <w:rPr>
          <w:rFonts w:ascii="黑体" w:eastAsia="黑体"/>
          <w:sz w:val="44"/>
          <w:szCs w:val="52"/>
        </w:rPr>
      </w:pPr>
    </w:p>
    <w:p w14:paraId="18FA3C6A" w14:textId="77777777" w:rsidR="00F50365" w:rsidRDefault="00F50365">
      <w:pPr>
        <w:ind w:firstLineChars="0" w:firstLine="0"/>
        <w:jc w:val="center"/>
        <w:rPr>
          <w:rFonts w:ascii="黑体" w:eastAsia="黑体"/>
          <w:sz w:val="44"/>
          <w:szCs w:val="52"/>
        </w:rPr>
      </w:pPr>
    </w:p>
    <w:p w14:paraId="52EC8067" w14:textId="77777777" w:rsidR="00F50365" w:rsidRDefault="00F50365">
      <w:pPr>
        <w:ind w:firstLineChars="0" w:firstLine="0"/>
        <w:jc w:val="center"/>
        <w:rPr>
          <w:rFonts w:ascii="黑体" w:eastAsia="黑体"/>
          <w:sz w:val="44"/>
          <w:szCs w:val="52"/>
        </w:rPr>
      </w:pPr>
    </w:p>
    <w:p w14:paraId="5606DDB6" w14:textId="77777777" w:rsidR="00F50365" w:rsidRDefault="00000000">
      <w:pPr>
        <w:ind w:firstLineChars="0" w:firstLine="0"/>
        <w:jc w:val="center"/>
        <w:rPr>
          <w:rFonts w:ascii="黑体" w:eastAsia="黑体"/>
          <w:sz w:val="44"/>
          <w:szCs w:val="52"/>
        </w:rPr>
      </w:pPr>
      <w:r>
        <w:rPr>
          <w:rFonts w:ascii="黑体" w:eastAsia="黑体" w:hint="eastAsia"/>
          <w:sz w:val="44"/>
          <w:szCs w:val="52"/>
        </w:rPr>
        <w:t>白山市公立医院改革与高质量发展信息化建设项目咨询设计服务</w:t>
      </w:r>
    </w:p>
    <w:p w14:paraId="60747757" w14:textId="77777777" w:rsidR="00F50365" w:rsidRDefault="00F50365">
      <w:pPr>
        <w:ind w:firstLineChars="0" w:firstLine="0"/>
        <w:jc w:val="center"/>
        <w:rPr>
          <w:rFonts w:ascii="黑体" w:eastAsia="黑体"/>
          <w:sz w:val="44"/>
          <w:szCs w:val="52"/>
        </w:rPr>
      </w:pPr>
    </w:p>
    <w:p w14:paraId="6F1337D8" w14:textId="77777777" w:rsidR="00F50365" w:rsidRDefault="00F50365">
      <w:pPr>
        <w:ind w:firstLineChars="0" w:firstLine="0"/>
        <w:jc w:val="center"/>
        <w:rPr>
          <w:rFonts w:ascii="黑体" w:eastAsia="黑体"/>
          <w:sz w:val="44"/>
          <w:szCs w:val="52"/>
        </w:rPr>
      </w:pPr>
    </w:p>
    <w:p w14:paraId="4F52413E" w14:textId="77777777" w:rsidR="00F50365" w:rsidRDefault="00000000">
      <w:pPr>
        <w:ind w:firstLineChars="0" w:firstLine="0"/>
        <w:jc w:val="center"/>
        <w:rPr>
          <w:rFonts w:ascii="黑体" w:eastAsia="黑体"/>
          <w:sz w:val="56"/>
          <w:szCs w:val="96"/>
        </w:rPr>
      </w:pPr>
      <w:r>
        <w:rPr>
          <w:rFonts w:ascii="黑体" w:eastAsia="黑体" w:hint="eastAsia"/>
          <w:sz w:val="56"/>
          <w:szCs w:val="96"/>
        </w:rPr>
        <w:t>采</w:t>
      </w:r>
    </w:p>
    <w:p w14:paraId="219DD765" w14:textId="77777777" w:rsidR="00F50365" w:rsidRDefault="00000000">
      <w:pPr>
        <w:ind w:firstLineChars="0" w:firstLine="0"/>
        <w:jc w:val="center"/>
        <w:rPr>
          <w:rFonts w:ascii="黑体" w:eastAsia="黑体"/>
          <w:sz w:val="56"/>
          <w:szCs w:val="96"/>
        </w:rPr>
      </w:pPr>
      <w:r>
        <w:rPr>
          <w:rFonts w:ascii="黑体" w:eastAsia="黑体" w:hint="eastAsia"/>
          <w:sz w:val="56"/>
          <w:szCs w:val="96"/>
        </w:rPr>
        <w:t>购</w:t>
      </w:r>
    </w:p>
    <w:p w14:paraId="3F5CF870" w14:textId="77777777" w:rsidR="00F50365" w:rsidRDefault="00000000">
      <w:pPr>
        <w:ind w:firstLineChars="0" w:firstLine="0"/>
        <w:jc w:val="center"/>
        <w:rPr>
          <w:rFonts w:ascii="黑体" w:eastAsia="黑体"/>
          <w:sz w:val="56"/>
          <w:szCs w:val="96"/>
        </w:rPr>
      </w:pPr>
      <w:r>
        <w:rPr>
          <w:rFonts w:ascii="黑体" w:eastAsia="黑体" w:hint="eastAsia"/>
          <w:sz w:val="56"/>
          <w:szCs w:val="96"/>
        </w:rPr>
        <w:t>需</w:t>
      </w:r>
    </w:p>
    <w:p w14:paraId="6CB3A3BF" w14:textId="77777777" w:rsidR="00F50365" w:rsidRDefault="00000000">
      <w:pPr>
        <w:ind w:firstLineChars="0" w:firstLine="0"/>
        <w:jc w:val="center"/>
        <w:rPr>
          <w:rFonts w:ascii="黑体" w:eastAsia="黑体"/>
          <w:sz w:val="56"/>
          <w:szCs w:val="96"/>
        </w:rPr>
      </w:pPr>
      <w:r>
        <w:rPr>
          <w:rFonts w:ascii="黑体" w:eastAsia="黑体" w:hint="eastAsia"/>
          <w:sz w:val="56"/>
          <w:szCs w:val="96"/>
        </w:rPr>
        <w:t>求</w:t>
      </w:r>
      <w:bookmarkEnd w:id="0"/>
      <w:bookmarkEnd w:id="1"/>
    </w:p>
    <w:p w14:paraId="429DC608" w14:textId="77777777" w:rsidR="00F50365" w:rsidRDefault="00F50365">
      <w:pPr>
        <w:ind w:firstLineChars="0" w:firstLine="0"/>
        <w:jc w:val="center"/>
        <w:rPr>
          <w:rFonts w:ascii="黑体" w:eastAsia="黑体"/>
          <w:sz w:val="44"/>
          <w:szCs w:val="52"/>
        </w:rPr>
      </w:pPr>
    </w:p>
    <w:p w14:paraId="39C2ED42" w14:textId="77777777" w:rsidR="00F50365" w:rsidRDefault="00F50365">
      <w:pPr>
        <w:ind w:firstLineChars="0" w:firstLine="0"/>
        <w:jc w:val="center"/>
        <w:rPr>
          <w:rFonts w:ascii="黑体" w:eastAsia="黑体"/>
          <w:sz w:val="44"/>
          <w:szCs w:val="52"/>
        </w:rPr>
      </w:pPr>
    </w:p>
    <w:p w14:paraId="0614DA57" w14:textId="77777777" w:rsidR="00F50365" w:rsidRDefault="00F50365">
      <w:pPr>
        <w:ind w:firstLineChars="0" w:firstLine="0"/>
        <w:jc w:val="center"/>
        <w:rPr>
          <w:rFonts w:ascii="黑体" w:eastAsia="黑体"/>
          <w:sz w:val="44"/>
          <w:szCs w:val="52"/>
        </w:rPr>
      </w:pPr>
    </w:p>
    <w:p w14:paraId="6908FB84" w14:textId="77777777" w:rsidR="00F50365" w:rsidRDefault="00F50365">
      <w:pPr>
        <w:ind w:firstLineChars="0" w:firstLine="0"/>
        <w:jc w:val="center"/>
        <w:rPr>
          <w:rFonts w:ascii="黑体" w:eastAsia="黑体"/>
          <w:sz w:val="44"/>
          <w:szCs w:val="52"/>
        </w:rPr>
      </w:pPr>
    </w:p>
    <w:p w14:paraId="18A5F4D6" w14:textId="77777777" w:rsidR="00F50365" w:rsidRDefault="00000000">
      <w:pPr>
        <w:ind w:firstLineChars="0" w:firstLine="0"/>
        <w:jc w:val="center"/>
        <w:rPr>
          <w:rFonts w:ascii="黑体" w:eastAsia="黑体"/>
          <w:sz w:val="32"/>
          <w:szCs w:val="40"/>
        </w:rPr>
      </w:pPr>
      <w:r>
        <w:rPr>
          <w:rFonts w:ascii="黑体" w:eastAsia="黑体" w:hint="eastAsia"/>
          <w:sz w:val="32"/>
          <w:szCs w:val="40"/>
        </w:rPr>
        <w:t>2024年11月</w:t>
      </w:r>
    </w:p>
    <w:p w14:paraId="31AE6F37" w14:textId="77777777" w:rsidR="00F50365" w:rsidRDefault="00000000">
      <w:pPr>
        <w:pStyle w:val="1"/>
        <w:rPr>
          <w:snapToGrid w:val="0"/>
        </w:rPr>
      </w:pPr>
      <w:bookmarkStart w:id="2" w:name="_Toc119623135"/>
      <w:bookmarkStart w:id="3" w:name="_Toc133603541"/>
      <w:bookmarkStart w:id="4" w:name="_Toc833"/>
      <w:r>
        <w:rPr>
          <w:rFonts w:hint="eastAsia"/>
          <w:snapToGrid w:val="0"/>
        </w:rPr>
        <w:lastRenderedPageBreak/>
        <w:t>项目概况及采购范围</w:t>
      </w:r>
      <w:bookmarkEnd w:id="2"/>
      <w:bookmarkEnd w:id="3"/>
      <w:bookmarkEnd w:id="4"/>
    </w:p>
    <w:p w14:paraId="0BED50AC" w14:textId="77777777" w:rsidR="00F50365" w:rsidRDefault="00000000">
      <w:pPr>
        <w:pStyle w:val="2"/>
      </w:pPr>
      <w:bookmarkStart w:id="5" w:name="_Toc119623136"/>
      <w:r>
        <w:rPr>
          <w:rFonts w:hint="eastAsia"/>
        </w:rPr>
        <w:t>项目概况</w:t>
      </w:r>
    </w:p>
    <w:p w14:paraId="2A3C9919" w14:textId="77777777" w:rsidR="00F50365" w:rsidRDefault="00000000">
      <w:pPr>
        <w:pStyle w:val="3"/>
      </w:pPr>
      <w:r>
        <w:rPr>
          <w:rFonts w:hint="eastAsia"/>
        </w:rPr>
        <w:t>建设背景</w:t>
      </w:r>
    </w:p>
    <w:p w14:paraId="71CA19EA" w14:textId="0ADB979C" w:rsidR="00F50365" w:rsidRDefault="00F15E23">
      <w:pPr>
        <w:pStyle w:val="a6"/>
        <w:ind w:firstLine="480"/>
        <w:rPr>
          <w:rStyle w:val="NormalCharacter"/>
          <w:sz w:val="24"/>
          <w:szCs w:val="32"/>
        </w:rPr>
      </w:pPr>
      <w:r w:rsidRPr="00F15E23">
        <w:rPr>
          <w:rStyle w:val="NormalCharacter"/>
          <w:rFonts w:hint="eastAsia"/>
          <w:sz w:val="24"/>
          <w:szCs w:val="32"/>
        </w:rPr>
        <w:t>为了整体提升白山市区域医疗信息化水平，促进公立医院改革与高质量发展，推动医疗健康数据跨层级、跨领域、跨部门互通共享和治理，提升智慧医疗服务能力和水平，进一步方便群众就医，根据国家有关医疗信息化政策、标准和规范要求，白山市拟全面提升辖区</w:t>
      </w:r>
      <w:r w:rsidRPr="00F15E23">
        <w:rPr>
          <w:rStyle w:val="NormalCharacter"/>
          <w:rFonts w:hint="eastAsia"/>
          <w:sz w:val="24"/>
          <w:szCs w:val="32"/>
        </w:rPr>
        <w:t>14</w:t>
      </w:r>
      <w:r w:rsidRPr="00F15E23">
        <w:rPr>
          <w:rStyle w:val="NormalCharacter"/>
          <w:rFonts w:hint="eastAsia"/>
          <w:sz w:val="24"/>
          <w:szCs w:val="32"/>
        </w:rPr>
        <w:t>所二级以上公立医院智慧医疗服务能力；建设全民健康信息平台，建立一张网、一朵云、一个平台，推动医疗、医保、医药数据集成。</w:t>
      </w:r>
    </w:p>
    <w:p w14:paraId="71510AEF" w14:textId="77777777" w:rsidR="00F50365" w:rsidRDefault="00000000">
      <w:pPr>
        <w:pStyle w:val="3"/>
      </w:pPr>
      <w:r>
        <w:rPr>
          <w:rFonts w:hint="eastAsia"/>
        </w:rPr>
        <w:t>建设目标</w:t>
      </w:r>
    </w:p>
    <w:p w14:paraId="4D1D6670" w14:textId="215BD90B" w:rsidR="00F50365" w:rsidRDefault="000147CE">
      <w:pPr>
        <w:ind w:firstLine="480"/>
        <w:contextualSpacing/>
        <w:rPr>
          <w:rFonts w:ascii="宋体"/>
          <w:color w:val="000000"/>
          <w:sz w:val="24"/>
        </w:rPr>
      </w:pPr>
      <w:r w:rsidRPr="000147CE">
        <w:rPr>
          <w:rFonts w:ascii="宋体" w:hint="eastAsia"/>
          <w:color w:val="000000"/>
          <w:sz w:val="24"/>
        </w:rPr>
        <w:t>实施上下贯通的紧密型医联体信息化系统建设，实现区域检查检验结果互通共享；建设“三医”联动信息平台，打通健康数据壁垒，加强医疗服务价格监测和评估；在公立医院建立运营管理系统，推行全面预算管理和全成本核算；推进标准化的电子病历、人性化的智慧服务、科学化的智慧管理“三位一体”智慧医院和医院信息标准化建设，打造互联网医院，更好地满足人民群众对高品质医疗服务的新需求、新期盼。</w:t>
      </w:r>
      <w:r w:rsidR="00000000">
        <w:rPr>
          <w:rFonts w:ascii="宋体" w:hint="eastAsia"/>
          <w:color w:val="000000"/>
          <w:sz w:val="24"/>
        </w:rPr>
        <w:t xml:space="preserve"> </w:t>
      </w:r>
    </w:p>
    <w:p w14:paraId="7BEFBB03" w14:textId="77777777" w:rsidR="00F50365" w:rsidRDefault="00000000">
      <w:pPr>
        <w:ind w:firstLine="480"/>
        <w:contextualSpacing/>
        <w:rPr>
          <w:rFonts w:ascii="宋体"/>
          <w:color w:val="000000"/>
          <w:sz w:val="24"/>
        </w:rPr>
      </w:pPr>
      <w:r>
        <w:rPr>
          <w:rFonts w:ascii="宋体" w:hint="eastAsia"/>
          <w:color w:val="000000"/>
          <w:sz w:val="24"/>
        </w:rPr>
        <w:t>具体目标：</w:t>
      </w:r>
    </w:p>
    <w:p w14:paraId="36E66A9C" w14:textId="77777777" w:rsidR="00F50365" w:rsidRDefault="00000000">
      <w:pPr>
        <w:ind w:firstLine="482"/>
        <w:contextualSpacing/>
        <w:rPr>
          <w:rFonts w:ascii="宋体"/>
          <w:b/>
          <w:bCs/>
          <w:color w:val="000000"/>
          <w:sz w:val="24"/>
        </w:rPr>
      </w:pPr>
      <w:r>
        <w:rPr>
          <w:rFonts w:ascii="宋体" w:hint="eastAsia"/>
          <w:b/>
          <w:bCs/>
          <w:color w:val="000000"/>
          <w:sz w:val="24"/>
        </w:rPr>
        <w:t>一、统建全</w:t>
      </w:r>
      <w:r>
        <w:rPr>
          <w:rFonts w:ascii="宋体"/>
          <w:b/>
          <w:bCs/>
          <w:color w:val="000000"/>
          <w:sz w:val="24"/>
        </w:rPr>
        <w:t>新一代</w:t>
      </w:r>
      <w:r>
        <w:rPr>
          <w:rFonts w:ascii="宋体" w:hint="eastAsia"/>
          <w:b/>
          <w:bCs/>
          <w:color w:val="000000"/>
          <w:sz w:val="24"/>
        </w:rPr>
        <w:t>智慧医院</w:t>
      </w:r>
      <w:r>
        <w:rPr>
          <w:rFonts w:ascii="宋体"/>
          <w:b/>
          <w:bCs/>
          <w:color w:val="000000"/>
          <w:sz w:val="24"/>
        </w:rPr>
        <w:t>系统</w:t>
      </w:r>
    </w:p>
    <w:p w14:paraId="4094BAB7" w14:textId="4591E9F6" w:rsidR="00F50365" w:rsidRDefault="00000000">
      <w:pPr>
        <w:ind w:firstLine="480"/>
        <w:contextualSpacing/>
        <w:rPr>
          <w:rFonts w:ascii="宋体"/>
          <w:color w:val="000000"/>
          <w:sz w:val="24"/>
        </w:rPr>
      </w:pPr>
      <w:r>
        <w:rPr>
          <w:rFonts w:ascii="宋体" w:hint="eastAsia"/>
          <w:color w:val="000000"/>
          <w:sz w:val="24"/>
        </w:rPr>
        <w:t>按照国家发布的电子病历、互联互通、智慧服务分级评价标准，在白山市统建一套“三统一”新一代智慧医院信息化系统，即数据统一、服务统一、应用统一，重塑传统各级医院各自为战的信息化建设模式，节约传统模式下政策性接口与共性业务需求的重复投入，升级医院精细化管理手段，全方位提升区域内各级医院的信息化水平，推动大数据、人工智能、</w:t>
      </w:r>
      <w:r>
        <w:rPr>
          <w:rFonts w:ascii="宋体"/>
          <w:color w:val="000000"/>
          <w:sz w:val="24"/>
        </w:rPr>
        <w:t>5G、物联网</w:t>
      </w:r>
      <w:r>
        <w:rPr>
          <w:rFonts w:ascii="宋体" w:hint="eastAsia"/>
          <w:color w:val="000000"/>
          <w:sz w:val="24"/>
        </w:rPr>
        <w:t>、大模型</w:t>
      </w:r>
      <w:r>
        <w:rPr>
          <w:rFonts w:ascii="宋体"/>
          <w:color w:val="000000"/>
          <w:sz w:val="24"/>
        </w:rPr>
        <w:t>等创新技术和医疗服务的深度融合，通过技术驱动构建</w:t>
      </w:r>
      <w:r>
        <w:rPr>
          <w:rFonts w:ascii="宋体"/>
          <w:color w:val="000000"/>
          <w:sz w:val="24"/>
        </w:rPr>
        <w:t>“</w:t>
      </w:r>
      <w:r>
        <w:rPr>
          <w:rFonts w:ascii="宋体"/>
          <w:color w:val="000000"/>
          <w:sz w:val="24"/>
        </w:rPr>
        <w:t>以</w:t>
      </w:r>
      <w:r w:rsidR="00927EE7">
        <w:rPr>
          <w:rFonts w:ascii="宋体" w:hint="eastAsia"/>
          <w:color w:val="000000"/>
          <w:sz w:val="24"/>
        </w:rPr>
        <w:t>病人</w:t>
      </w:r>
      <w:r>
        <w:rPr>
          <w:rFonts w:ascii="宋体"/>
          <w:color w:val="000000"/>
          <w:sz w:val="24"/>
        </w:rPr>
        <w:t>为中心</w:t>
      </w:r>
      <w:r>
        <w:rPr>
          <w:rFonts w:ascii="宋体"/>
          <w:color w:val="000000"/>
          <w:sz w:val="24"/>
        </w:rPr>
        <w:t>”</w:t>
      </w:r>
      <w:r>
        <w:rPr>
          <w:rFonts w:ascii="宋体"/>
          <w:color w:val="000000"/>
          <w:sz w:val="24"/>
        </w:rPr>
        <w:t>的主动、精准的医疗服务体系，提升各类医疗机构服务效能，全面支撑智慧医院的应用推广，全面推动</w:t>
      </w:r>
      <w:r>
        <w:rPr>
          <w:rFonts w:ascii="宋体"/>
          <w:color w:val="000000"/>
          <w:sz w:val="24"/>
        </w:rPr>
        <w:lastRenderedPageBreak/>
        <w:t>区域公立医院高质量发展</w:t>
      </w:r>
      <w:r>
        <w:rPr>
          <w:rFonts w:ascii="宋体" w:hint="eastAsia"/>
          <w:color w:val="000000"/>
          <w:sz w:val="24"/>
        </w:rPr>
        <w:t>。</w:t>
      </w:r>
    </w:p>
    <w:p w14:paraId="24CBC25E" w14:textId="77777777" w:rsidR="00F50365" w:rsidRDefault="00000000">
      <w:pPr>
        <w:ind w:firstLine="482"/>
        <w:contextualSpacing/>
        <w:rPr>
          <w:rFonts w:ascii="宋体"/>
          <w:b/>
          <w:bCs/>
          <w:color w:val="000000"/>
          <w:sz w:val="24"/>
        </w:rPr>
      </w:pPr>
      <w:r>
        <w:rPr>
          <w:rFonts w:ascii="宋体" w:hint="eastAsia"/>
          <w:b/>
          <w:bCs/>
          <w:color w:val="000000"/>
          <w:sz w:val="24"/>
        </w:rPr>
        <w:t>二、深化完善</w:t>
      </w:r>
      <w:r>
        <w:rPr>
          <w:rFonts w:ascii="宋体"/>
          <w:b/>
          <w:bCs/>
          <w:color w:val="000000"/>
          <w:sz w:val="24"/>
        </w:rPr>
        <w:t>基层卫生服务</w:t>
      </w:r>
      <w:r>
        <w:rPr>
          <w:rFonts w:ascii="宋体" w:hint="eastAsia"/>
          <w:b/>
          <w:bCs/>
          <w:color w:val="000000"/>
          <w:sz w:val="24"/>
        </w:rPr>
        <w:t>模式</w:t>
      </w:r>
    </w:p>
    <w:p w14:paraId="37EC595B" w14:textId="77777777" w:rsidR="00F50365" w:rsidRDefault="00000000">
      <w:pPr>
        <w:ind w:firstLine="480"/>
        <w:contextualSpacing/>
        <w:rPr>
          <w:rFonts w:ascii="宋体"/>
          <w:color w:val="000000"/>
          <w:sz w:val="24"/>
        </w:rPr>
      </w:pPr>
      <w:r>
        <w:rPr>
          <w:rFonts w:ascii="宋体" w:hint="eastAsia"/>
          <w:color w:val="000000"/>
          <w:sz w:val="24"/>
        </w:rPr>
        <w:t>在现有全省统建的基层信息系统基础上，无缝集成基本公共卫生服务、家庭医生签约等功能，满足其各项业务开展的需求，依托全科医生制度，实现基层卫生个性化服务模式，促进优质医疗资源纵向流动，减少基层人员的工作量，提升基层卫生服务能力和服务水平，为全市基层医疗卫生统一管理提供强有力的支撑。</w:t>
      </w:r>
    </w:p>
    <w:p w14:paraId="012CBD4C" w14:textId="77777777" w:rsidR="00F50365" w:rsidRDefault="00000000">
      <w:pPr>
        <w:ind w:firstLine="482"/>
        <w:contextualSpacing/>
        <w:rPr>
          <w:rFonts w:ascii="宋体"/>
          <w:b/>
          <w:bCs/>
          <w:color w:val="000000"/>
          <w:sz w:val="24"/>
        </w:rPr>
      </w:pPr>
      <w:r>
        <w:rPr>
          <w:rFonts w:ascii="宋体" w:hint="eastAsia"/>
          <w:b/>
          <w:bCs/>
          <w:color w:val="000000"/>
          <w:sz w:val="24"/>
        </w:rPr>
        <w:t>三、集约打造白山统一健康基座</w:t>
      </w:r>
    </w:p>
    <w:p w14:paraId="2C66B9CB" w14:textId="36660EA1" w:rsidR="00F50365" w:rsidRDefault="00000000">
      <w:pPr>
        <w:ind w:firstLine="480"/>
        <w:contextualSpacing/>
        <w:rPr>
          <w:rFonts w:ascii="宋体"/>
          <w:color w:val="000000"/>
          <w:sz w:val="24"/>
        </w:rPr>
      </w:pPr>
      <w:r>
        <w:rPr>
          <w:rFonts w:ascii="宋体" w:hint="eastAsia"/>
          <w:color w:val="000000"/>
          <w:sz w:val="24"/>
        </w:rPr>
        <w:t>通过制定统一标准规范，集约统建一个白山市统一健康平台基座，逻辑上分散供全市2个医疗集团及</w:t>
      </w:r>
      <w:r w:rsidR="00927EE7">
        <w:rPr>
          <w:rFonts w:ascii="宋体" w:hint="eastAsia"/>
          <w:color w:val="000000"/>
          <w:sz w:val="24"/>
        </w:rPr>
        <w:t>5</w:t>
      </w:r>
      <w:r>
        <w:rPr>
          <w:rFonts w:ascii="宋体" w:hint="eastAsia"/>
          <w:color w:val="000000"/>
          <w:sz w:val="24"/>
        </w:rPr>
        <w:t>个医共体使用，支撑“2+</w:t>
      </w:r>
      <w:r w:rsidR="00927EE7">
        <w:rPr>
          <w:rFonts w:ascii="宋体" w:hint="eastAsia"/>
          <w:color w:val="000000"/>
          <w:sz w:val="24"/>
        </w:rPr>
        <w:t>5</w:t>
      </w:r>
      <w:r>
        <w:rPr>
          <w:rFonts w:ascii="宋体" w:hint="eastAsia"/>
          <w:color w:val="000000"/>
          <w:sz w:val="24"/>
        </w:rPr>
        <w:t>+N”的公立医院服务体系，对接全市各级医院、基层医疗卫生服务机构、医保机构、医药机构、公共卫生服务机构、军队，实现健康档案、电子病历等区域内各类信息的共享、集中存储、互联互通与统一管理。</w:t>
      </w:r>
    </w:p>
    <w:p w14:paraId="7BF26886" w14:textId="77777777" w:rsidR="00F50365" w:rsidRDefault="00000000">
      <w:pPr>
        <w:ind w:firstLine="482"/>
        <w:contextualSpacing/>
        <w:rPr>
          <w:rFonts w:ascii="宋体"/>
          <w:b/>
          <w:bCs/>
          <w:color w:val="000000"/>
          <w:sz w:val="24"/>
        </w:rPr>
      </w:pPr>
      <w:r>
        <w:rPr>
          <w:rFonts w:ascii="宋体" w:hint="eastAsia"/>
          <w:b/>
          <w:bCs/>
          <w:color w:val="000000"/>
          <w:sz w:val="24"/>
        </w:rPr>
        <w:t>四、</w:t>
      </w:r>
      <w:r>
        <w:rPr>
          <w:rFonts w:ascii="宋体"/>
          <w:b/>
          <w:bCs/>
          <w:color w:val="000000"/>
          <w:sz w:val="24"/>
        </w:rPr>
        <w:t>构建紧密型</w:t>
      </w:r>
      <w:r>
        <w:rPr>
          <w:rFonts w:ascii="宋体" w:hint="eastAsia"/>
          <w:b/>
          <w:bCs/>
          <w:color w:val="000000"/>
          <w:sz w:val="24"/>
        </w:rPr>
        <w:t>多级</w:t>
      </w:r>
      <w:r>
        <w:rPr>
          <w:rFonts w:ascii="宋体"/>
          <w:b/>
          <w:bCs/>
          <w:color w:val="000000"/>
          <w:sz w:val="24"/>
        </w:rPr>
        <w:t>联动统筹</w:t>
      </w:r>
      <w:r>
        <w:rPr>
          <w:rFonts w:ascii="宋体" w:hint="eastAsia"/>
          <w:b/>
          <w:bCs/>
          <w:color w:val="000000"/>
          <w:sz w:val="24"/>
        </w:rPr>
        <w:t>体系</w:t>
      </w:r>
    </w:p>
    <w:p w14:paraId="1DA0E8D6" w14:textId="77777777" w:rsidR="00F50365" w:rsidRDefault="00000000">
      <w:pPr>
        <w:ind w:firstLine="482"/>
        <w:contextualSpacing/>
        <w:rPr>
          <w:rFonts w:ascii="宋体"/>
          <w:b/>
          <w:bCs/>
          <w:color w:val="000000"/>
          <w:sz w:val="24"/>
        </w:rPr>
      </w:pPr>
      <w:r>
        <w:rPr>
          <w:rFonts w:ascii="宋体" w:hint="eastAsia"/>
          <w:b/>
          <w:bCs/>
          <w:color w:val="000000"/>
          <w:sz w:val="24"/>
        </w:rPr>
        <w:t>1、区域监管应用</w:t>
      </w:r>
    </w:p>
    <w:p w14:paraId="41111742" w14:textId="77777777" w:rsidR="00F50365" w:rsidRDefault="00000000">
      <w:pPr>
        <w:ind w:firstLine="480"/>
        <w:contextualSpacing/>
        <w:rPr>
          <w:rFonts w:ascii="宋体"/>
          <w:color w:val="000000"/>
          <w:sz w:val="24"/>
        </w:rPr>
      </w:pPr>
      <w:r>
        <w:rPr>
          <w:rFonts w:ascii="宋体" w:hint="eastAsia"/>
          <w:color w:val="000000"/>
          <w:sz w:val="24"/>
        </w:rPr>
        <w:t>建设具有白山市特色的智能监管应用，对区域内各级医院、基层卫生机构、城市医疗集团及医共体的海量数据进行统计分析及深层次的数据挖掘，通过科学的指标化管理，能够灵活地配置监管主题，基于海量、客观、真实的医疗卫生数据，充分利用医疗技术和大数据技术的有效结合，通过建设区域决策监管大屏、医疗资源分析、基本业务分析、城市医疗集团及医共体运营分析等行业监管应用，为相关医改政策的执行效果提供动态明晰的数据参考，进而支撑深化医改落地。建立全面的资源与运维管理体系，深入业务环节，开展区域内人力资源、财务资源以及物资资源的综合运营以及监管分析，为管理决策提供基础数据支撑，全面提升管理和决策水平。</w:t>
      </w:r>
      <w:r>
        <w:rPr>
          <w:rFonts w:ascii="宋体"/>
          <w:color w:val="000000"/>
          <w:sz w:val="24"/>
        </w:rPr>
        <w:t xml:space="preserve"> </w:t>
      </w:r>
    </w:p>
    <w:p w14:paraId="47B61DB0" w14:textId="77777777" w:rsidR="00F50365" w:rsidRDefault="00000000">
      <w:pPr>
        <w:ind w:firstLine="482"/>
        <w:contextualSpacing/>
        <w:rPr>
          <w:rFonts w:ascii="宋体"/>
          <w:b/>
          <w:bCs/>
          <w:color w:val="000000"/>
          <w:sz w:val="24"/>
        </w:rPr>
      </w:pPr>
      <w:r>
        <w:rPr>
          <w:rFonts w:ascii="宋体" w:hint="eastAsia"/>
          <w:b/>
          <w:bCs/>
          <w:color w:val="000000"/>
          <w:sz w:val="24"/>
        </w:rPr>
        <w:t>2、</w:t>
      </w:r>
      <w:r>
        <w:rPr>
          <w:rFonts w:ascii="宋体"/>
          <w:b/>
          <w:bCs/>
          <w:color w:val="000000"/>
          <w:sz w:val="24"/>
        </w:rPr>
        <w:t>惠民服务</w:t>
      </w:r>
      <w:r>
        <w:rPr>
          <w:rFonts w:ascii="宋体" w:hint="eastAsia"/>
          <w:b/>
          <w:bCs/>
          <w:color w:val="000000"/>
          <w:sz w:val="24"/>
        </w:rPr>
        <w:t>应用</w:t>
      </w:r>
    </w:p>
    <w:p w14:paraId="309DB331" w14:textId="77777777" w:rsidR="00F50365" w:rsidRDefault="00000000">
      <w:pPr>
        <w:ind w:firstLine="480"/>
        <w:contextualSpacing/>
        <w:rPr>
          <w:rFonts w:ascii="宋体"/>
          <w:color w:val="000000"/>
          <w:sz w:val="24"/>
        </w:rPr>
      </w:pPr>
      <w:r>
        <w:rPr>
          <w:rFonts w:ascii="宋体" w:hint="eastAsia"/>
          <w:color w:val="000000"/>
          <w:sz w:val="24"/>
        </w:rPr>
        <w:t>注重便民惠民服务体系建设，构建“互联网</w:t>
      </w:r>
      <w:r>
        <w:rPr>
          <w:rFonts w:ascii="宋体"/>
          <w:color w:val="000000"/>
          <w:sz w:val="24"/>
        </w:rPr>
        <w:t>+医疗健康</w:t>
      </w:r>
      <w:r>
        <w:rPr>
          <w:rFonts w:ascii="宋体"/>
          <w:color w:val="000000"/>
          <w:sz w:val="24"/>
        </w:rPr>
        <w:t>”</w:t>
      </w:r>
      <w:r>
        <w:rPr>
          <w:rFonts w:ascii="宋体"/>
          <w:color w:val="000000"/>
          <w:sz w:val="24"/>
        </w:rPr>
        <w:t>区域服务模式，以</w:t>
      </w:r>
      <w:r>
        <w:rPr>
          <w:rFonts w:ascii="宋体" w:hint="eastAsia"/>
          <w:color w:val="000000"/>
          <w:sz w:val="24"/>
        </w:rPr>
        <w:t>居民</w:t>
      </w:r>
      <w:r>
        <w:rPr>
          <w:rFonts w:ascii="宋体"/>
          <w:color w:val="000000"/>
          <w:sz w:val="24"/>
        </w:rPr>
        <w:t>为核心，</w:t>
      </w:r>
      <w:r>
        <w:rPr>
          <w:rFonts w:ascii="宋体" w:hint="eastAsia"/>
          <w:color w:val="000000"/>
          <w:sz w:val="24"/>
        </w:rPr>
        <w:t>面向市级医院打造区域统一互联网医院，面向居民构建区域</w:t>
      </w:r>
      <w:r>
        <w:rPr>
          <w:rFonts w:ascii="宋体"/>
          <w:color w:val="000000"/>
          <w:sz w:val="24"/>
        </w:rPr>
        <w:t>微信公众号，实现医疗健康服务业务线上线下融合、互通共享和业务协同，为居民提供覆盖诊前、诊中、诊后的线上线下一体化诊疗服务，不断扩展医疗卫生服务渠道和</w:t>
      </w:r>
      <w:r>
        <w:rPr>
          <w:rFonts w:ascii="宋体"/>
          <w:color w:val="000000"/>
          <w:sz w:val="24"/>
        </w:rPr>
        <w:lastRenderedPageBreak/>
        <w:t>深度，延伸医疗卫生服务网络，让信息多跑路、让居民少跑腿，有效缓解居民</w:t>
      </w:r>
      <w:r>
        <w:rPr>
          <w:rFonts w:ascii="宋体"/>
          <w:color w:val="000000"/>
          <w:sz w:val="24"/>
        </w:rPr>
        <w:t>“</w:t>
      </w:r>
      <w:r>
        <w:rPr>
          <w:rFonts w:ascii="宋体"/>
          <w:color w:val="000000"/>
          <w:sz w:val="24"/>
        </w:rPr>
        <w:t>看病难</w:t>
      </w:r>
      <w:r>
        <w:rPr>
          <w:rFonts w:ascii="宋体"/>
          <w:color w:val="000000"/>
          <w:sz w:val="24"/>
        </w:rPr>
        <w:t>”</w:t>
      </w:r>
      <w:r>
        <w:rPr>
          <w:rFonts w:ascii="宋体"/>
          <w:color w:val="000000"/>
          <w:sz w:val="24"/>
        </w:rPr>
        <w:t>的问题，构建和谐医患关系，提升患者满意度。</w:t>
      </w:r>
    </w:p>
    <w:p w14:paraId="2CF038DE" w14:textId="77777777" w:rsidR="00F50365" w:rsidRDefault="00000000">
      <w:pPr>
        <w:ind w:firstLine="482"/>
        <w:contextualSpacing/>
        <w:rPr>
          <w:rFonts w:ascii="宋体"/>
          <w:b/>
          <w:bCs/>
          <w:color w:val="000000"/>
          <w:sz w:val="24"/>
        </w:rPr>
      </w:pPr>
      <w:r>
        <w:rPr>
          <w:rFonts w:ascii="宋体" w:hint="eastAsia"/>
          <w:b/>
          <w:bCs/>
          <w:color w:val="000000"/>
          <w:sz w:val="24"/>
        </w:rPr>
        <w:t>3、三医联动应用</w:t>
      </w:r>
    </w:p>
    <w:p w14:paraId="16C25CDD" w14:textId="77777777" w:rsidR="00F50365" w:rsidRDefault="00000000">
      <w:pPr>
        <w:ind w:firstLine="480"/>
        <w:contextualSpacing/>
        <w:rPr>
          <w:rFonts w:ascii="宋体"/>
          <w:color w:val="000000"/>
          <w:sz w:val="24"/>
        </w:rPr>
      </w:pPr>
      <w:r>
        <w:rPr>
          <w:rFonts w:ascii="宋体" w:hint="eastAsia"/>
          <w:color w:val="000000"/>
          <w:sz w:val="24"/>
        </w:rPr>
        <w:t>医医联动：深化完善远程会诊，建立双向转诊、影像诊断、临床检验、超声诊断、病理诊断、心电诊断、消毒供应、区域急救等远程医疗协同服务，实现电子病历共享、健康档案共享及检查检验互认等信息互通，着力构建自上而下的远程医疗服务体系，逐步形成“健康进家庭、小病在基层、大病到医院、康复回基层”的分级诊疗格局。缓解区域优质医疗资源短缺、分布不均衡问题，实现优质医疗资源全面共享，诊断业务有效联动的完整医疗服务体系，整体辐射和带动基层医疗机构服务能力提升。</w:t>
      </w:r>
    </w:p>
    <w:p w14:paraId="39715750" w14:textId="77777777" w:rsidR="00F50365" w:rsidRDefault="00000000">
      <w:pPr>
        <w:ind w:firstLine="480"/>
        <w:contextualSpacing/>
        <w:rPr>
          <w:rFonts w:ascii="宋体"/>
          <w:color w:val="000000"/>
          <w:sz w:val="24"/>
        </w:rPr>
      </w:pPr>
      <w:r>
        <w:rPr>
          <w:rFonts w:ascii="宋体" w:hint="eastAsia"/>
          <w:color w:val="000000"/>
          <w:sz w:val="24"/>
        </w:rPr>
        <w:t>医药联动：建立区域药品耗材管理应用，统一控制区域药品耗材信息，在区域医疗机构按照统一目录、统一价格、统一招标、统一采购、统一配送、统一结算、统一监管的“七统一”模式，实行药品耗材网上集中采购、集中配送、集中监管，建设区域智能药品耗材供应链系统。开展城市医疗集团与医共体的中心药房服务，实现药品在城市医疗集团与医共体内部的流转与配送。</w:t>
      </w:r>
    </w:p>
    <w:p w14:paraId="4C2F6769" w14:textId="77777777" w:rsidR="00F50365" w:rsidRDefault="00000000">
      <w:pPr>
        <w:pStyle w:val="a6"/>
        <w:ind w:firstLine="480"/>
        <w:rPr>
          <w:rStyle w:val="NormalCharacter"/>
          <w:rFonts w:ascii="宋体" w:cs="宋体"/>
          <w:szCs w:val="24"/>
        </w:rPr>
      </w:pPr>
      <w:r>
        <w:rPr>
          <w:rFonts w:ascii="宋体" w:hint="eastAsia"/>
          <w:color w:val="000000"/>
          <w:szCs w:val="24"/>
        </w:rPr>
        <w:t>医保联动：与医保部门之间数据互联，实现医保挂号结算、招采数据查询，打通健康数据壁垒。建设白山市DIP支付方式改革质量监管体系</w:t>
      </w:r>
      <w:r>
        <w:rPr>
          <w:rFonts w:ascii="宋体"/>
          <w:color w:val="000000"/>
          <w:szCs w:val="24"/>
        </w:rPr>
        <w:t>，促进医保资金合理使用，科学配置，建立高效的医疗保障治理体系，推动医药卫生</w:t>
      </w:r>
      <w:r>
        <w:rPr>
          <w:rFonts w:ascii="宋体" w:hint="eastAsia"/>
          <w:color w:val="000000"/>
          <w:szCs w:val="24"/>
        </w:rPr>
        <w:t>治理体系和治理能力的现代化</w:t>
      </w:r>
      <w:r>
        <w:rPr>
          <w:rStyle w:val="NormalCharacter"/>
          <w:rFonts w:hint="eastAsia"/>
          <w:szCs w:val="24"/>
        </w:rPr>
        <w:t>。</w:t>
      </w:r>
    </w:p>
    <w:p w14:paraId="519F0EB2" w14:textId="77777777" w:rsidR="00F50365" w:rsidRDefault="00000000">
      <w:pPr>
        <w:pStyle w:val="3"/>
      </w:pPr>
      <w:r>
        <w:rPr>
          <w:rFonts w:hint="eastAsia"/>
          <w:lang w:val="en-US"/>
        </w:rPr>
        <w:t>拟建</w:t>
      </w:r>
      <w:r>
        <w:rPr>
          <w:rFonts w:hint="eastAsia"/>
        </w:rPr>
        <w:t>建设内容</w:t>
      </w:r>
    </w:p>
    <w:p w14:paraId="5E039D8D" w14:textId="77777777" w:rsidR="00F50365" w:rsidRDefault="00000000">
      <w:pPr>
        <w:ind w:firstLine="420"/>
      </w:pPr>
      <w:r>
        <w:t>紧密型医联体体系项目。建立城市医疗集团检验、影像、病理、心电区域诊断中心和远程会诊中心，建设县级医院分中心。建设县域医共体中心药房，财务、全面预算、资产、人事监管系统，绩效考核运营和预警管理系统、成本核算系统、数据平台集成中心，推动医共体内实现</w:t>
      </w:r>
      <w:r>
        <w:t>“</w:t>
      </w:r>
      <w:r>
        <w:t>六统一</w:t>
      </w:r>
      <w:r>
        <w:t>”</w:t>
      </w:r>
      <w:r>
        <w:t>。</w:t>
      </w:r>
    </w:p>
    <w:p w14:paraId="4BC010B9" w14:textId="77777777" w:rsidR="00F50365" w:rsidRDefault="00000000">
      <w:pPr>
        <w:ind w:firstLine="420"/>
      </w:pPr>
      <w:r>
        <w:t>“</w:t>
      </w:r>
      <w:r>
        <w:t>三医</w:t>
      </w:r>
      <w:r>
        <w:t>”</w:t>
      </w:r>
      <w:r>
        <w:t>联动信息平台项目。推行一张网络（数字健康网络）、一个平台（医疗云平台）、一个系统（区域卫生信息系统），打通健康数据壁垒，集成数据应用。实现全市医疗机构之间、卫生健康部门与医疗机构之间、卫生健康部门与医保部门之间数据互联，建立检查结果互认、电子病历共享、医保挂号结算、招采数据查询等系统。建设</w:t>
      </w:r>
      <w:r>
        <w:t>DIP</w:t>
      </w:r>
      <w:r>
        <w:t>支付方式改革质量</w:t>
      </w:r>
      <w:r>
        <w:lastRenderedPageBreak/>
        <w:t>监管平台，包含病案首页质量控制、病种费用分析及预警，深化医保支付方式改革。建设</w:t>
      </w:r>
      <w:r>
        <w:t>14</w:t>
      </w:r>
      <w:r>
        <w:t>家公立医院综合运营管理平台，提高综合运营能力。实现医疗卫生大数据监管、穿透式监管。</w:t>
      </w:r>
    </w:p>
    <w:p w14:paraId="224E75A1" w14:textId="77777777" w:rsidR="00F50365" w:rsidRDefault="00000000">
      <w:pPr>
        <w:ind w:firstLine="420"/>
      </w:pPr>
      <w:r>
        <w:t>智慧医院能力提升项目。推动公立医院电子病历系统应用建设，三级医院达到</w:t>
      </w:r>
      <w:r>
        <w:t>4</w:t>
      </w:r>
      <w:r>
        <w:t>级及以上水平，二级医院达到</w:t>
      </w:r>
      <w:r>
        <w:t>3</w:t>
      </w:r>
      <w:r>
        <w:t>级水平。支持建设互联网医院。建设智慧医院信息平台，提高国家信息互联互通标准成熟度级别，三级医院达到</w:t>
      </w:r>
      <w:r>
        <w:t>4</w:t>
      </w:r>
      <w:r>
        <w:t>级水平，二级医院达到</w:t>
      </w:r>
      <w:r>
        <w:t>3</w:t>
      </w:r>
      <w:r>
        <w:t>级水平。提升公立医院智慧服务能力，三级医院达到智慧服务</w:t>
      </w:r>
      <w:r>
        <w:t>3</w:t>
      </w:r>
      <w:r>
        <w:t>级水平，二级医院达到</w:t>
      </w:r>
      <w:r>
        <w:t>2</w:t>
      </w:r>
      <w:r>
        <w:t>级水平。</w:t>
      </w:r>
    </w:p>
    <w:p w14:paraId="370374F6" w14:textId="77777777" w:rsidR="00F50365" w:rsidRDefault="00F50365">
      <w:pPr>
        <w:ind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
        <w:gridCol w:w="868"/>
        <w:gridCol w:w="2214"/>
        <w:gridCol w:w="4529"/>
      </w:tblGrid>
      <w:tr w:rsidR="00F50365" w14:paraId="774A9AB8" w14:textId="77777777">
        <w:trPr>
          <w:trHeight w:val="270"/>
          <w:tblHeader/>
        </w:trPr>
        <w:tc>
          <w:tcPr>
            <w:tcW w:w="424" w:type="pct"/>
            <w:shd w:val="clear" w:color="auto" w:fill="A6A6A6"/>
            <w:noWrap/>
            <w:vAlign w:val="center"/>
          </w:tcPr>
          <w:p w14:paraId="1AAAC22F" w14:textId="77777777" w:rsidR="00F50365" w:rsidRDefault="00000000">
            <w:pPr>
              <w:pStyle w:val="02"/>
            </w:pPr>
            <w:bookmarkStart w:id="6" w:name="_Hlk181016938"/>
            <w:r>
              <w:rPr>
                <w:rFonts w:hint="eastAsia"/>
              </w:rPr>
              <w:t>序号</w:t>
            </w:r>
          </w:p>
        </w:tc>
        <w:tc>
          <w:tcPr>
            <w:tcW w:w="522" w:type="pct"/>
            <w:shd w:val="clear" w:color="auto" w:fill="A6A6A6"/>
            <w:noWrap/>
            <w:vAlign w:val="center"/>
          </w:tcPr>
          <w:p w14:paraId="23E83D1F" w14:textId="77777777" w:rsidR="00F50365" w:rsidRDefault="00000000">
            <w:pPr>
              <w:pStyle w:val="02"/>
            </w:pPr>
            <w:r>
              <w:rPr>
                <w:rFonts w:hint="eastAsia"/>
              </w:rPr>
              <w:t>分类</w:t>
            </w:r>
          </w:p>
        </w:tc>
        <w:tc>
          <w:tcPr>
            <w:tcW w:w="1331" w:type="pct"/>
            <w:shd w:val="clear" w:color="auto" w:fill="A6A6A6"/>
            <w:noWrap/>
            <w:vAlign w:val="center"/>
          </w:tcPr>
          <w:p w14:paraId="1F7DA302" w14:textId="77777777" w:rsidR="00F50365" w:rsidRDefault="00000000">
            <w:pPr>
              <w:pStyle w:val="02"/>
            </w:pPr>
            <w:r>
              <w:rPr>
                <w:rFonts w:hint="eastAsia"/>
              </w:rPr>
              <w:t>建设分项</w:t>
            </w:r>
          </w:p>
        </w:tc>
        <w:tc>
          <w:tcPr>
            <w:tcW w:w="2723" w:type="pct"/>
            <w:shd w:val="clear" w:color="auto" w:fill="A6A6A6"/>
            <w:noWrap/>
            <w:vAlign w:val="center"/>
          </w:tcPr>
          <w:p w14:paraId="31E347EA" w14:textId="77777777" w:rsidR="00F50365" w:rsidRDefault="00000000">
            <w:pPr>
              <w:pStyle w:val="02"/>
            </w:pPr>
            <w:r>
              <w:rPr>
                <w:rFonts w:hint="eastAsia"/>
              </w:rPr>
              <w:t>描述</w:t>
            </w:r>
          </w:p>
        </w:tc>
      </w:tr>
      <w:tr w:rsidR="00F50365" w14:paraId="7CF50ED7" w14:textId="77777777">
        <w:trPr>
          <w:trHeight w:val="810"/>
        </w:trPr>
        <w:tc>
          <w:tcPr>
            <w:tcW w:w="424" w:type="pct"/>
            <w:noWrap/>
            <w:vAlign w:val="center"/>
          </w:tcPr>
          <w:p w14:paraId="041E8653" w14:textId="77777777" w:rsidR="00F50365" w:rsidRDefault="00000000">
            <w:pPr>
              <w:pStyle w:val="02"/>
              <w:rPr>
                <w:b w:val="0"/>
                <w:bCs/>
              </w:rPr>
            </w:pPr>
            <w:r>
              <w:rPr>
                <w:rFonts w:hint="eastAsia"/>
                <w:b w:val="0"/>
                <w:bCs/>
              </w:rPr>
              <w:t>1</w:t>
            </w:r>
          </w:p>
        </w:tc>
        <w:tc>
          <w:tcPr>
            <w:tcW w:w="522" w:type="pct"/>
            <w:vMerge w:val="restart"/>
            <w:noWrap/>
            <w:vAlign w:val="center"/>
          </w:tcPr>
          <w:p w14:paraId="2213CCD6" w14:textId="77777777" w:rsidR="00F50365" w:rsidRDefault="00000000">
            <w:pPr>
              <w:pStyle w:val="02"/>
              <w:rPr>
                <w:b w:val="0"/>
                <w:bCs/>
              </w:rPr>
            </w:pPr>
            <w:r>
              <w:rPr>
                <w:rFonts w:hint="eastAsia"/>
                <w:b w:val="0"/>
                <w:bCs/>
              </w:rPr>
              <w:t>工程建设部分</w:t>
            </w:r>
          </w:p>
        </w:tc>
        <w:tc>
          <w:tcPr>
            <w:tcW w:w="1331" w:type="pct"/>
            <w:noWrap/>
            <w:vAlign w:val="center"/>
          </w:tcPr>
          <w:p w14:paraId="6CA5E76F" w14:textId="77777777" w:rsidR="00F50365" w:rsidRDefault="00000000">
            <w:pPr>
              <w:pStyle w:val="02"/>
              <w:rPr>
                <w:b w:val="0"/>
                <w:bCs/>
              </w:rPr>
            </w:pPr>
            <w:r>
              <w:rPr>
                <w:rFonts w:hint="eastAsia"/>
                <w:b w:val="0"/>
                <w:bCs/>
              </w:rPr>
              <w:t>应用系统建设</w:t>
            </w:r>
          </w:p>
        </w:tc>
        <w:tc>
          <w:tcPr>
            <w:tcW w:w="2723" w:type="pct"/>
            <w:vAlign w:val="center"/>
          </w:tcPr>
          <w:p w14:paraId="33AC8848" w14:textId="77777777" w:rsidR="00F50365" w:rsidRDefault="00000000">
            <w:pPr>
              <w:pStyle w:val="02"/>
              <w:rPr>
                <w:b w:val="0"/>
                <w:bCs/>
              </w:rPr>
            </w:pPr>
            <w:r>
              <w:rPr>
                <w:rFonts w:hint="eastAsia"/>
                <w:b w:val="0"/>
                <w:bCs/>
              </w:rPr>
              <w:t>构建白山市智慧医疗“一底座，四位一体应用”的信息化新格局，包括统一健康平台基座，四位一体应用：医疗服务一体化、区域卫生一体化、全域治理一体化、数字便民一体化。</w:t>
            </w:r>
          </w:p>
        </w:tc>
      </w:tr>
      <w:tr w:rsidR="00F50365" w14:paraId="26874287" w14:textId="77777777">
        <w:trPr>
          <w:trHeight w:val="1080"/>
        </w:trPr>
        <w:tc>
          <w:tcPr>
            <w:tcW w:w="424" w:type="pct"/>
            <w:noWrap/>
            <w:vAlign w:val="center"/>
          </w:tcPr>
          <w:p w14:paraId="60474264" w14:textId="77777777" w:rsidR="00F50365" w:rsidRDefault="00000000">
            <w:pPr>
              <w:pStyle w:val="02"/>
              <w:rPr>
                <w:b w:val="0"/>
                <w:bCs/>
              </w:rPr>
            </w:pPr>
            <w:r>
              <w:rPr>
                <w:rFonts w:hint="eastAsia"/>
                <w:b w:val="0"/>
                <w:bCs/>
              </w:rPr>
              <w:t>2</w:t>
            </w:r>
          </w:p>
        </w:tc>
        <w:tc>
          <w:tcPr>
            <w:tcW w:w="522" w:type="pct"/>
            <w:vMerge/>
            <w:vAlign w:val="center"/>
          </w:tcPr>
          <w:p w14:paraId="28CAF2F0" w14:textId="77777777" w:rsidR="00F50365" w:rsidRDefault="00F50365">
            <w:pPr>
              <w:ind w:firstLine="420"/>
            </w:pPr>
          </w:p>
        </w:tc>
        <w:tc>
          <w:tcPr>
            <w:tcW w:w="1331" w:type="pct"/>
            <w:noWrap/>
            <w:vAlign w:val="center"/>
          </w:tcPr>
          <w:p w14:paraId="0CD6974A" w14:textId="77777777" w:rsidR="00F50365" w:rsidRDefault="00000000">
            <w:pPr>
              <w:pStyle w:val="02"/>
              <w:rPr>
                <w:b w:val="0"/>
                <w:bCs/>
              </w:rPr>
            </w:pPr>
            <w:r>
              <w:rPr>
                <w:rFonts w:hint="eastAsia"/>
                <w:b w:val="0"/>
                <w:bCs/>
              </w:rPr>
              <w:t>医疗云建设</w:t>
            </w:r>
          </w:p>
        </w:tc>
        <w:tc>
          <w:tcPr>
            <w:tcW w:w="2723" w:type="pct"/>
            <w:vAlign w:val="center"/>
          </w:tcPr>
          <w:p w14:paraId="1F76AAE8" w14:textId="77777777" w:rsidR="00F50365" w:rsidRDefault="00000000">
            <w:pPr>
              <w:pStyle w:val="02"/>
              <w:rPr>
                <w:b w:val="0"/>
                <w:bCs/>
              </w:rPr>
            </w:pPr>
            <w:r>
              <w:rPr>
                <w:rFonts w:hint="eastAsia"/>
                <w:b w:val="0"/>
                <w:bCs/>
              </w:rPr>
              <w:t>医疗云采用“一个平台一朵云</w:t>
            </w:r>
            <w:r>
              <w:rPr>
                <w:rFonts w:hint="eastAsia"/>
                <w:b w:val="0"/>
                <w:bCs/>
              </w:rPr>
              <w:t xml:space="preserve"> </w:t>
            </w:r>
            <w:r>
              <w:rPr>
                <w:rFonts w:hint="eastAsia"/>
                <w:b w:val="0"/>
                <w:bCs/>
              </w:rPr>
              <w:t>，同城异地三中心”的建设思路，通过构建两地三中心的高可用云平台架构，来承载白山市医卫生产业务系统和容灾备份系统。建设高标准、高要求符合国家和医疗行业标准的“医疗私有云”为目标，以实现业务系统的稳定、高效、可靠运行。</w:t>
            </w:r>
          </w:p>
        </w:tc>
      </w:tr>
      <w:tr w:rsidR="00F50365" w14:paraId="718F79A8" w14:textId="77777777">
        <w:trPr>
          <w:trHeight w:val="540"/>
        </w:trPr>
        <w:tc>
          <w:tcPr>
            <w:tcW w:w="424" w:type="pct"/>
            <w:noWrap/>
            <w:vAlign w:val="center"/>
          </w:tcPr>
          <w:p w14:paraId="2E0FEA05" w14:textId="77777777" w:rsidR="00F50365" w:rsidRDefault="00000000">
            <w:pPr>
              <w:pStyle w:val="02"/>
              <w:rPr>
                <w:b w:val="0"/>
                <w:bCs/>
              </w:rPr>
            </w:pPr>
            <w:r>
              <w:rPr>
                <w:rFonts w:hint="eastAsia"/>
                <w:b w:val="0"/>
                <w:bCs/>
              </w:rPr>
              <w:t>3</w:t>
            </w:r>
          </w:p>
        </w:tc>
        <w:tc>
          <w:tcPr>
            <w:tcW w:w="522" w:type="pct"/>
            <w:vMerge/>
            <w:vAlign w:val="center"/>
          </w:tcPr>
          <w:p w14:paraId="33918567" w14:textId="77777777" w:rsidR="00F50365" w:rsidRDefault="00F50365">
            <w:pPr>
              <w:ind w:firstLine="420"/>
            </w:pPr>
          </w:p>
        </w:tc>
        <w:tc>
          <w:tcPr>
            <w:tcW w:w="1331" w:type="pct"/>
            <w:vAlign w:val="center"/>
          </w:tcPr>
          <w:p w14:paraId="70B7941C" w14:textId="77777777" w:rsidR="00F50365" w:rsidRDefault="00000000">
            <w:pPr>
              <w:pStyle w:val="02"/>
              <w:rPr>
                <w:b w:val="0"/>
                <w:bCs/>
              </w:rPr>
            </w:pPr>
            <w:r>
              <w:rPr>
                <w:rFonts w:hint="eastAsia"/>
                <w:b w:val="0"/>
                <w:bCs/>
              </w:rPr>
              <w:t>网络链路建设</w:t>
            </w:r>
          </w:p>
        </w:tc>
        <w:tc>
          <w:tcPr>
            <w:tcW w:w="2723" w:type="pct"/>
            <w:vAlign w:val="center"/>
          </w:tcPr>
          <w:p w14:paraId="4DB9F241" w14:textId="77777777" w:rsidR="00F50365" w:rsidRDefault="00000000">
            <w:pPr>
              <w:pStyle w:val="02"/>
              <w:rPr>
                <w:b w:val="0"/>
                <w:bCs/>
              </w:rPr>
            </w:pPr>
            <w:r>
              <w:rPr>
                <w:rFonts w:hint="eastAsia"/>
                <w:b w:val="0"/>
                <w:bCs/>
              </w:rPr>
              <w:t>利用运营商的裸光纤和城域专线资源，构建一套本次项目覆盖到公立医疗机构的医疗专网。</w:t>
            </w:r>
          </w:p>
        </w:tc>
      </w:tr>
      <w:tr w:rsidR="00F50365" w14:paraId="70332F58" w14:textId="77777777">
        <w:trPr>
          <w:trHeight w:val="810"/>
        </w:trPr>
        <w:tc>
          <w:tcPr>
            <w:tcW w:w="424" w:type="pct"/>
            <w:noWrap/>
            <w:vAlign w:val="center"/>
          </w:tcPr>
          <w:p w14:paraId="283B1E44" w14:textId="77777777" w:rsidR="00F50365" w:rsidRDefault="00000000">
            <w:pPr>
              <w:pStyle w:val="02"/>
              <w:rPr>
                <w:b w:val="0"/>
                <w:bCs/>
              </w:rPr>
            </w:pPr>
            <w:r>
              <w:rPr>
                <w:rFonts w:hint="eastAsia"/>
                <w:b w:val="0"/>
                <w:bCs/>
              </w:rPr>
              <w:t>4</w:t>
            </w:r>
          </w:p>
        </w:tc>
        <w:tc>
          <w:tcPr>
            <w:tcW w:w="522" w:type="pct"/>
            <w:vMerge/>
            <w:vAlign w:val="center"/>
          </w:tcPr>
          <w:p w14:paraId="7F04D078" w14:textId="77777777" w:rsidR="00F50365" w:rsidRDefault="00F50365">
            <w:pPr>
              <w:ind w:firstLine="420"/>
            </w:pPr>
          </w:p>
        </w:tc>
        <w:tc>
          <w:tcPr>
            <w:tcW w:w="1331" w:type="pct"/>
            <w:noWrap/>
            <w:vAlign w:val="center"/>
          </w:tcPr>
          <w:p w14:paraId="76BE8D84" w14:textId="77777777" w:rsidR="00F50365" w:rsidRDefault="00000000">
            <w:pPr>
              <w:pStyle w:val="02"/>
              <w:rPr>
                <w:b w:val="0"/>
                <w:bCs/>
              </w:rPr>
            </w:pPr>
            <w:r>
              <w:rPr>
                <w:rFonts w:hint="eastAsia"/>
                <w:b w:val="0"/>
                <w:bCs/>
              </w:rPr>
              <w:t>“智慧医卫”运营指挥中心建设</w:t>
            </w:r>
          </w:p>
        </w:tc>
        <w:tc>
          <w:tcPr>
            <w:tcW w:w="2723" w:type="pct"/>
            <w:vAlign w:val="center"/>
          </w:tcPr>
          <w:p w14:paraId="0747FFF6" w14:textId="77777777" w:rsidR="00F50365" w:rsidRDefault="00000000">
            <w:pPr>
              <w:pStyle w:val="02"/>
              <w:rPr>
                <w:b w:val="0"/>
                <w:bCs/>
              </w:rPr>
            </w:pPr>
            <w:r>
              <w:rPr>
                <w:rFonts w:hint="eastAsia"/>
                <w:b w:val="0"/>
                <w:bCs/>
              </w:rPr>
              <w:t>利用现有场地构建一套包括无纸化会议、监控操作台、高清</w:t>
            </w:r>
            <w:r>
              <w:rPr>
                <w:rFonts w:hint="eastAsia"/>
                <w:b w:val="0"/>
                <w:bCs/>
              </w:rPr>
              <w:t>LED</w:t>
            </w:r>
            <w:r>
              <w:rPr>
                <w:rFonts w:hint="eastAsia"/>
                <w:b w:val="0"/>
                <w:bCs/>
              </w:rPr>
              <w:t>屏幕、集中控制系统、扩声和发言系统等板块的运营指挥中心系统。建成简约实用、高端、大气，集监控、管理、指挥、会议、参观于一体的全市“智慧医卫”运营指挥中心。</w:t>
            </w:r>
          </w:p>
        </w:tc>
      </w:tr>
      <w:tr w:rsidR="00F50365" w14:paraId="688CEFE2" w14:textId="77777777">
        <w:trPr>
          <w:trHeight w:val="810"/>
        </w:trPr>
        <w:tc>
          <w:tcPr>
            <w:tcW w:w="424" w:type="pct"/>
            <w:noWrap/>
            <w:vAlign w:val="center"/>
          </w:tcPr>
          <w:p w14:paraId="76AC3EE6" w14:textId="77777777" w:rsidR="00F50365" w:rsidRDefault="00000000">
            <w:pPr>
              <w:pStyle w:val="02"/>
              <w:rPr>
                <w:b w:val="0"/>
                <w:bCs/>
              </w:rPr>
            </w:pPr>
            <w:r>
              <w:rPr>
                <w:rFonts w:hint="eastAsia"/>
                <w:b w:val="0"/>
                <w:bCs/>
              </w:rPr>
              <w:t>5</w:t>
            </w:r>
          </w:p>
        </w:tc>
        <w:tc>
          <w:tcPr>
            <w:tcW w:w="522" w:type="pct"/>
            <w:vMerge/>
            <w:vAlign w:val="center"/>
          </w:tcPr>
          <w:p w14:paraId="48F5E82D" w14:textId="77777777" w:rsidR="00F50365" w:rsidRDefault="00F50365">
            <w:pPr>
              <w:ind w:firstLine="420"/>
            </w:pPr>
          </w:p>
        </w:tc>
        <w:tc>
          <w:tcPr>
            <w:tcW w:w="1331" w:type="pct"/>
            <w:vAlign w:val="center"/>
          </w:tcPr>
          <w:p w14:paraId="1CD8F279" w14:textId="77777777" w:rsidR="00F50365" w:rsidRDefault="00000000">
            <w:pPr>
              <w:pStyle w:val="02"/>
              <w:rPr>
                <w:b w:val="0"/>
                <w:bCs/>
              </w:rPr>
            </w:pPr>
            <w:r>
              <w:rPr>
                <w:rFonts w:hint="eastAsia"/>
                <w:b w:val="0"/>
                <w:bCs/>
              </w:rPr>
              <w:t>信息安全体系建设</w:t>
            </w:r>
          </w:p>
        </w:tc>
        <w:tc>
          <w:tcPr>
            <w:tcW w:w="2723" w:type="pct"/>
            <w:vAlign w:val="center"/>
          </w:tcPr>
          <w:p w14:paraId="49DAC38E" w14:textId="77777777" w:rsidR="00F50365" w:rsidRDefault="00000000">
            <w:pPr>
              <w:pStyle w:val="02"/>
              <w:rPr>
                <w:b w:val="0"/>
                <w:bCs/>
              </w:rPr>
            </w:pPr>
            <w:r>
              <w:rPr>
                <w:rFonts w:hint="eastAsia"/>
                <w:b w:val="0"/>
                <w:bCs/>
              </w:rPr>
              <w:t>根据《</w:t>
            </w:r>
            <w:r>
              <w:rPr>
                <w:rFonts w:hint="eastAsia"/>
                <w:b w:val="0"/>
                <w:bCs/>
              </w:rPr>
              <w:t>GB/T22239-2019</w:t>
            </w:r>
            <w:r>
              <w:rPr>
                <w:rFonts w:hint="eastAsia"/>
                <w:b w:val="0"/>
                <w:bCs/>
              </w:rPr>
              <w:t>信息安全技术网络安全等级保护基本要求》以及</w:t>
            </w:r>
            <w:r>
              <w:rPr>
                <w:rFonts w:hint="eastAsia"/>
                <w:b w:val="0"/>
                <w:bCs/>
              </w:rPr>
              <w:t>2019</w:t>
            </w:r>
            <w:r>
              <w:rPr>
                <w:rFonts w:hint="eastAsia"/>
                <w:b w:val="0"/>
                <w:bCs/>
              </w:rPr>
              <w:t>年国家卫健委印发的《卫生健康行业网络安全等级保护工作实施方案》的规范要求，按照等保测评三级的水平构建本次项目信息安全体系建设。</w:t>
            </w:r>
          </w:p>
        </w:tc>
      </w:tr>
      <w:tr w:rsidR="00F50365" w14:paraId="7B4CAAE0" w14:textId="77777777">
        <w:trPr>
          <w:trHeight w:val="1350"/>
        </w:trPr>
        <w:tc>
          <w:tcPr>
            <w:tcW w:w="424" w:type="pct"/>
            <w:noWrap/>
            <w:vAlign w:val="center"/>
          </w:tcPr>
          <w:p w14:paraId="01DB8E04" w14:textId="77777777" w:rsidR="00F50365" w:rsidRDefault="00000000">
            <w:pPr>
              <w:pStyle w:val="02"/>
              <w:rPr>
                <w:b w:val="0"/>
                <w:bCs/>
              </w:rPr>
            </w:pPr>
            <w:r>
              <w:rPr>
                <w:rFonts w:hint="eastAsia"/>
                <w:b w:val="0"/>
                <w:bCs/>
              </w:rPr>
              <w:t>6</w:t>
            </w:r>
          </w:p>
        </w:tc>
        <w:tc>
          <w:tcPr>
            <w:tcW w:w="522" w:type="pct"/>
            <w:vMerge/>
            <w:vAlign w:val="center"/>
          </w:tcPr>
          <w:p w14:paraId="5EE3EBEB" w14:textId="77777777" w:rsidR="00F50365" w:rsidRDefault="00F50365">
            <w:pPr>
              <w:ind w:firstLine="420"/>
            </w:pPr>
          </w:p>
        </w:tc>
        <w:tc>
          <w:tcPr>
            <w:tcW w:w="1331" w:type="pct"/>
            <w:vAlign w:val="center"/>
          </w:tcPr>
          <w:p w14:paraId="68DE869D" w14:textId="77777777" w:rsidR="00F50365" w:rsidRDefault="00000000">
            <w:pPr>
              <w:pStyle w:val="02"/>
              <w:rPr>
                <w:b w:val="0"/>
                <w:bCs/>
              </w:rPr>
            </w:pPr>
            <w:r>
              <w:rPr>
                <w:rFonts w:hint="eastAsia"/>
                <w:b w:val="0"/>
                <w:bCs/>
              </w:rPr>
              <w:t>商用密码应用体系建设</w:t>
            </w:r>
          </w:p>
        </w:tc>
        <w:tc>
          <w:tcPr>
            <w:tcW w:w="2723" w:type="pct"/>
            <w:vAlign w:val="center"/>
          </w:tcPr>
          <w:p w14:paraId="3BDF29A0" w14:textId="77777777" w:rsidR="00F50365" w:rsidRDefault="00000000">
            <w:pPr>
              <w:pStyle w:val="02"/>
              <w:rPr>
                <w:b w:val="0"/>
                <w:bCs/>
              </w:rPr>
            </w:pPr>
            <w:r>
              <w:rPr>
                <w:rFonts w:hint="eastAsia"/>
                <w:b w:val="0"/>
                <w:bCs/>
              </w:rPr>
              <w:t>根据国务院《商用密码管理条例》（国令第</w:t>
            </w:r>
            <w:r>
              <w:rPr>
                <w:rFonts w:hint="eastAsia"/>
                <w:b w:val="0"/>
                <w:bCs/>
              </w:rPr>
              <w:t>760</w:t>
            </w:r>
            <w:r>
              <w:rPr>
                <w:rFonts w:hint="eastAsia"/>
                <w:b w:val="0"/>
                <w:bCs/>
              </w:rPr>
              <w:t>号）、商用密码应用安全性评估管理办法（国家密码管理局令第</w:t>
            </w:r>
            <w:r>
              <w:rPr>
                <w:rFonts w:hint="eastAsia"/>
                <w:b w:val="0"/>
                <w:bCs/>
              </w:rPr>
              <w:t>3</w:t>
            </w:r>
            <w:r>
              <w:rPr>
                <w:rFonts w:hint="eastAsia"/>
                <w:b w:val="0"/>
                <w:bCs/>
              </w:rPr>
              <w:t>号）以及《关于印发</w:t>
            </w:r>
            <w:r>
              <w:rPr>
                <w:rFonts w:hint="eastAsia"/>
                <w:b w:val="0"/>
                <w:bCs/>
              </w:rPr>
              <w:t>&lt;</w:t>
            </w:r>
            <w:r>
              <w:rPr>
                <w:rFonts w:hint="eastAsia"/>
                <w:b w:val="0"/>
                <w:bCs/>
              </w:rPr>
              <w:t>卫生健康行业医疗机构场景密码应用与</w:t>
            </w:r>
            <w:r>
              <w:rPr>
                <w:rFonts w:hint="eastAsia"/>
                <w:b w:val="0"/>
                <w:bCs/>
              </w:rPr>
              <w:lastRenderedPageBreak/>
              <w:t>安全性评估实施指南</w:t>
            </w:r>
            <w:r>
              <w:rPr>
                <w:rFonts w:hint="eastAsia"/>
                <w:b w:val="0"/>
                <w:bCs/>
              </w:rPr>
              <w:t>&gt;&lt;</w:t>
            </w:r>
            <w:r>
              <w:rPr>
                <w:rFonts w:hint="eastAsia"/>
                <w:b w:val="0"/>
                <w:bCs/>
              </w:rPr>
              <w:t>全民健康信息平台密码应用与安全性评估实施指南</w:t>
            </w:r>
            <w:r>
              <w:rPr>
                <w:rFonts w:hint="eastAsia"/>
                <w:b w:val="0"/>
                <w:bCs/>
              </w:rPr>
              <w:t>&gt;</w:t>
            </w:r>
            <w:r>
              <w:rPr>
                <w:rFonts w:hint="eastAsia"/>
                <w:b w:val="0"/>
                <w:bCs/>
              </w:rPr>
              <w:t>的通知》（国卫统信函</w:t>
            </w:r>
            <w:r>
              <w:rPr>
                <w:rFonts w:hint="eastAsia"/>
                <w:b w:val="0"/>
                <w:bCs/>
              </w:rPr>
              <w:t>[2023]17</w:t>
            </w:r>
            <w:r>
              <w:rPr>
                <w:rFonts w:hint="eastAsia"/>
                <w:b w:val="0"/>
                <w:bCs/>
              </w:rPr>
              <w:t>号）的规定，依据国家标准《</w:t>
            </w:r>
            <w:r>
              <w:rPr>
                <w:rFonts w:hint="eastAsia"/>
                <w:b w:val="0"/>
                <w:bCs/>
              </w:rPr>
              <w:t xml:space="preserve">GB/T 39786-2021 </w:t>
            </w:r>
            <w:r>
              <w:rPr>
                <w:rFonts w:hint="eastAsia"/>
                <w:b w:val="0"/>
                <w:bCs/>
              </w:rPr>
              <w:t>信息安全技术</w:t>
            </w:r>
            <w:r>
              <w:rPr>
                <w:rFonts w:hint="eastAsia"/>
                <w:b w:val="0"/>
                <w:bCs/>
              </w:rPr>
              <w:t xml:space="preserve"> </w:t>
            </w:r>
            <w:r>
              <w:rPr>
                <w:rFonts w:hint="eastAsia"/>
                <w:b w:val="0"/>
                <w:bCs/>
              </w:rPr>
              <w:t>信息系统密码应用基本要求》的规范要求进行本项目商用密码应用体系建设。</w:t>
            </w:r>
          </w:p>
        </w:tc>
      </w:tr>
      <w:tr w:rsidR="00F50365" w14:paraId="69315BC2" w14:textId="77777777">
        <w:trPr>
          <w:trHeight w:val="1080"/>
        </w:trPr>
        <w:tc>
          <w:tcPr>
            <w:tcW w:w="424" w:type="pct"/>
            <w:noWrap/>
            <w:vAlign w:val="center"/>
          </w:tcPr>
          <w:p w14:paraId="474445B7" w14:textId="77777777" w:rsidR="00F50365" w:rsidRDefault="00000000">
            <w:pPr>
              <w:pStyle w:val="02"/>
              <w:rPr>
                <w:b w:val="0"/>
                <w:bCs/>
              </w:rPr>
            </w:pPr>
            <w:r>
              <w:rPr>
                <w:rFonts w:hint="eastAsia"/>
                <w:b w:val="0"/>
                <w:bCs/>
              </w:rPr>
              <w:lastRenderedPageBreak/>
              <w:t>7</w:t>
            </w:r>
          </w:p>
        </w:tc>
        <w:tc>
          <w:tcPr>
            <w:tcW w:w="1853" w:type="pct"/>
            <w:gridSpan w:val="2"/>
            <w:noWrap/>
            <w:vAlign w:val="center"/>
          </w:tcPr>
          <w:p w14:paraId="21335E84" w14:textId="77777777" w:rsidR="00F50365" w:rsidRDefault="00000000">
            <w:pPr>
              <w:pStyle w:val="02"/>
              <w:rPr>
                <w:b w:val="0"/>
                <w:bCs/>
              </w:rPr>
            </w:pPr>
            <w:r>
              <w:rPr>
                <w:rFonts w:hint="eastAsia"/>
                <w:b w:val="0"/>
                <w:bCs/>
              </w:rPr>
              <w:t>工程建设第三方服务</w:t>
            </w:r>
          </w:p>
        </w:tc>
        <w:tc>
          <w:tcPr>
            <w:tcW w:w="2723" w:type="pct"/>
            <w:vAlign w:val="center"/>
          </w:tcPr>
          <w:p w14:paraId="4ABDAA0C" w14:textId="77777777" w:rsidR="00F50365" w:rsidRDefault="00000000">
            <w:pPr>
              <w:pStyle w:val="02"/>
              <w:rPr>
                <w:b w:val="0"/>
                <w:bCs/>
              </w:rPr>
            </w:pPr>
            <w:r>
              <w:rPr>
                <w:rFonts w:hint="eastAsia"/>
                <w:b w:val="0"/>
                <w:bCs/>
              </w:rPr>
              <w:t>按照国家政务信息化管理办法的相关规定，进行工程第三方服务费用配置，包括密码应用方案编制、密码应用方案评估、项目前期咨询费、工程设计费、工程监理费、项目管理费、第三方验收测评费、信息安全等级保护测评费、商用密码应用评估费、招标代理费、专家评审费</w:t>
            </w:r>
          </w:p>
        </w:tc>
      </w:tr>
      <w:tr w:rsidR="00F50365" w14:paraId="7E2B3E14" w14:textId="77777777">
        <w:trPr>
          <w:trHeight w:val="285"/>
        </w:trPr>
        <w:tc>
          <w:tcPr>
            <w:tcW w:w="424" w:type="pct"/>
            <w:noWrap/>
            <w:vAlign w:val="center"/>
          </w:tcPr>
          <w:p w14:paraId="259A13AB" w14:textId="77777777" w:rsidR="00F50365" w:rsidRDefault="00000000">
            <w:pPr>
              <w:pStyle w:val="02"/>
              <w:rPr>
                <w:b w:val="0"/>
                <w:bCs/>
              </w:rPr>
            </w:pPr>
            <w:r>
              <w:rPr>
                <w:rFonts w:hint="eastAsia"/>
                <w:b w:val="0"/>
                <w:bCs/>
              </w:rPr>
              <w:t>8</w:t>
            </w:r>
          </w:p>
        </w:tc>
        <w:tc>
          <w:tcPr>
            <w:tcW w:w="1853" w:type="pct"/>
            <w:gridSpan w:val="2"/>
            <w:vAlign w:val="center"/>
          </w:tcPr>
          <w:p w14:paraId="22F15A12" w14:textId="77777777" w:rsidR="00F50365" w:rsidRDefault="00000000">
            <w:pPr>
              <w:pStyle w:val="02"/>
              <w:rPr>
                <w:b w:val="0"/>
                <w:bCs/>
              </w:rPr>
            </w:pPr>
            <w:r>
              <w:rPr>
                <w:rFonts w:hint="eastAsia"/>
                <w:b w:val="0"/>
                <w:bCs/>
              </w:rPr>
              <w:t>工程预备费</w:t>
            </w:r>
          </w:p>
        </w:tc>
        <w:tc>
          <w:tcPr>
            <w:tcW w:w="2723" w:type="pct"/>
            <w:noWrap/>
            <w:vAlign w:val="center"/>
          </w:tcPr>
          <w:p w14:paraId="20191AF0" w14:textId="77777777" w:rsidR="00F50365" w:rsidRDefault="00000000">
            <w:pPr>
              <w:pStyle w:val="02"/>
              <w:rPr>
                <w:b w:val="0"/>
                <w:bCs/>
              </w:rPr>
            </w:pPr>
            <w:r>
              <w:rPr>
                <w:rFonts w:hint="eastAsia"/>
                <w:b w:val="0"/>
                <w:bCs/>
              </w:rPr>
              <w:t>按照国家政务信息化管理办法的相关规定，按照</w:t>
            </w:r>
            <w:r>
              <w:rPr>
                <w:rFonts w:hint="eastAsia"/>
                <w:b w:val="0"/>
                <w:bCs/>
              </w:rPr>
              <w:t>6%</w:t>
            </w:r>
            <w:r>
              <w:rPr>
                <w:rFonts w:hint="eastAsia"/>
                <w:b w:val="0"/>
                <w:bCs/>
              </w:rPr>
              <w:t>预留工程预备费。</w:t>
            </w:r>
          </w:p>
        </w:tc>
      </w:tr>
    </w:tbl>
    <w:p w14:paraId="5BF97DC0" w14:textId="77777777" w:rsidR="00F50365" w:rsidRDefault="00000000">
      <w:pPr>
        <w:pStyle w:val="a6"/>
        <w:ind w:firstLine="420"/>
        <w:rPr>
          <w:rStyle w:val="NormalCharacter"/>
          <w:szCs w:val="24"/>
        </w:rPr>
      </w:pPr>
      <w:r>
        <w:rPr>
          <w:rStyle w:val="NormalCharacter"/>
          <w:rFonts w:hint="eastAsia"/>
          <w:szCs w:val="24"/>
        </w:rPr>
        <w:t>注：上述建设内容仅初步规划，具体建设内容以咨询设计公司深入调研和规划后形成可行性研究报告和初步设计方案为准，建设内容要符合包括《全国医院信息化建设标准与规范（试行）（</w:t>
      </w:r>
      <w:r>
        <w:rPr>
          <w:rStyle w:val="NormalCharacter"/>
          <w:rFonts w:hint="eastAsia"/>
          <w:szCs w:val="24"/>
        </w:rPr>
        <w:t>2018</w:t>
      </w:r>
      <w:r>
        <w:rPr>
          <w:rStyle w:val="NormalCharacter"/>
          <w:rFonts w:hint="eastAsia"/>
          <w:szCs w:val="24"/>
        </w:rPr>
        <w:t>年版）》、最新版本的《医院信息互联互通标准化成熟度（医院信息互联互通）测评方案》、《电子病历系统应用水平分级评价管理办法及评价标准》、医院智慧服务分级评估标准体系》、《医院智慧管理分级评估标准体系》、《县域医共体信息化建设指南（征求意见稿）、《区域全民健康信息互联互通标准化成熟度测评方案》等规范要求。</w:t>
      </w:r>
    </w:p>
    <w:p w14:paraId="0D5A0B97" w14:textId="77777777" w:rsidR="00F50365" w:rsidRDefault="00F50365">
      <w:pPr>
        <w:pStyle w:val="a6"/>
        <w:ind w:firstLine="482"/>
        <w:rPr>
          <w:b/>
          <w:color w:val="FF0000"/>
          <w:lang w:val="en-US"/>
        </w:rPr>
      </w:pPr>
    </w:p>
    <w:bookmarkEnd w:id="6"/>
    <w:p w14:paraId="527B555A" w14:textId="77777777" w:rsidR="00F50365" w:rsidRDefault="00000000">
      <w:pPr>
        <w:pStyle w:val="3"/>
      </w:pPr>
      <w:r>
        <w:rPr>
          <w:rFonts w:hint="eastAsia"/>
        </w:rPr>
        <w:t>建设范围</w:t>
      </w:r>
    </w:p>
    <w:p w14:paraId="6086520F" w14:textId="77777777" w:rsidR="00F50365" w:rsidRDefault="00000000">
      <w:pPr>
        <w:pStyle w:val="a6"/>
        <w:ind w:firstLine="420"/>
        <w:rPr>
          <w:rStyle w:val="NormalCharacter"/>
          <w:szCs w:val="24"/>
        </w:rPr>
      </w:pPr>
      <w:r>
        <w:rPr>
          <w:rStyle w:val="NormalCharacter"/>
          <w:rFonts w:hint="eastAsia"/>
          <w:szCs w:val="24"/>
        </w:rPr>
        <w:t>本次项目建设范围包括白山市公立医院改革与高质量发展体系所涉及的所有成员单位的信息系统和软硬件基础环境，以及与国家级、省级、市级系统的数据对接。</w:t>
      </w:r>
    </w:p>
    <w:p w14:paraId="1C06E6AA" w14:textId="77777777" w:rsidR="00F50365" w:rsidRDefault="00000000">
      <w:pPr>
        <w:pStyle w:val="3"/>
      </w:pPr>
      <w:r>
        <w:rPr>
          <w:rFonts w:hint="eastAsia"/>
        </w:rPr>
        <w:t>建设</w:t>
      </w:r>
      <w:r>
        <w:t>资金</w:t>
      </w:r>
    </w:p>
    <w:p w14:paraId="4FCBB9BC" w14:textId="77777777" w:rsidR="00F50365" w:rsidRDefault="00000000">
      <w:pPr>
        <w:ind w:firstLine="420"/>
      </w:pPr>
      <w:r>
        <w:t>计划总投资</w:t>
      </w:r>
      <w:r>
        <w:t>1.2</w:t>
      </w:r>
      <w:r>
        <w:t>亿元。</w:t>
      </w:r>
    </w:p>
    <w:p w14:paraId="55A1410E" w14:textId="77777777" w:rsidR="00F50365" w:rsidRDefault="00F50365">
      <w:pPr>
        <w:ind w:firstLine="420"/>
      </w:pPr>
    </w:p>
    <w:p w14:paraId="2649952C" w14:textId="77777777" w:rsidR="00F50365" w:rsidRDefault="00000000">
      <w:pPr>
        <w:pStyle w:val="3"/>
      </w:pPr>
      <w:r>
        <w:rPr>
          <w:rFonts w:hint="eastAsia"/>
        </w:rPr>
        <w:t>建设周期</w:t>
      </w:r>
    </w:p>
    <w:p w14:paraId="6FEC7FB7" w14:textId="77777777" w:rsidR="00F50365" w:rsidRDefault="00000000">
      <w:pPr>
        <w:pStyle w:val="a6"/>
        <w:ind w:firstLine="420"/>
        <w:rPr>
          <w:rStyle w:val="NormalCharacter"/>
          <w:szCs w:val="24"/>
        </w:rPr>
      </w:pPr>
      <w:r>
        <w:rPr>
          <w:rStyle w:val="NormalCharacter"/>
          <w:rFonts w:hint="eastAsia"/>
          <w:szCs w:val="24"/>
        </w:rPr>
        <w:t>项目预计建设周期</w:t>
      </w:r>
      <w:r>
        <w:rPr>
          <w:rStyle w:val="NormalCharacter"/>
          <w:rFonts w:hint="eastAsia"/>
          <w:szCs w:val="24"/>
        </w:rPr>
        <w:t>2-3</w:t>
      </w:r>
      <w:r>
        <w:rPr>
          <w:rStyle w:val="NormalCharacter"/>
          <w:rFonts w:hint="eastAsia"/>
          <w:szCs w:val="24"/>
        </w:rPr>
        <w:t>年。</w:t>
      </w:r>
    </w:p>
    <w:p w14:paraId="5EEC7B4D" w14:textId="77777777" w:rsidR="00F50365" w:rsidRDefault="00000000">
      <w:pPr>
        <w:pStyle w:val="2"/>
      </w:pPr>
      <w:bookmarkStart w:id="7" w:name="_Toc133603542"/>
      <w:r>
        <w:rPr>
          <w:rFonts w:hint="eastAsia"/>
        </w:rPr>
        <w:lastRenderedPageBreak/>
        <w:t>采购范围</w:t>
      </w:r>
    </w:p>
    <w:p w14:paraId="31432180" w14:textId="77777777" w:rsidR="00F50365" w:rsidRDefault="00000000">
      <w:pPr>
        <w:pStyle w:val="a6"/>
        <w:ind w:firstLine="420"/>
        <w:rPr>
          <w:rStyle w:val="NormalCharacter"/>
          <w:szCs w:val="24"/>
        </w:rPr>
      </w:pPr>
      <w:bookmarkStart w:id="8" w:name="_Toc133603543"/>
      <w:bookmarkStart w:id="9" w:name="_Toc119623137"/>
      <w:bookmarkEnd w:id="5"/>
      <w:bookmarkEnd w:id="7"/>
      <w:r>
        <w:rPr>
          <w:rStyle w:val="NormalCharacter"/>
          <w:rFonts w:hint="eastAsia"/>
          <w:szCs w:val="24"/>
        </w:rPr>
        <w:t>白山市公立医院改革与高质量发展信息化示范建设项目可行性研究和初步设计方案等材料编制服务。具体包括本项目的现状调研、技术设计方案的编制服务（含概算编制工作）、协助采购人办理与可行性研究报告、设计成果相关的报审工作直至评审通过、为完成本项目设计工作而需完成的其它工作或需协助采购人完成的其它工作（含项目招标辅助工作、实施阶段跟踪咨询服务、售后咨询服务）等。</w:t>
      </w:r>
    </w:p>
    <w:p w14:paraId="7768EDE2" w14:textId="77777777" w:rsidR="00F50365" w:rsidRDefault="00000000">
      <w:pPr>
        <w:pStyle w:val="1"/>
      </w:pPr>
      <w:bookmarkStart w:id="10" w:name="_Toc181013067"/>
      <w:r>
        <w:rPr>
          <w:rFonts w:hint="eastAsia"/>
        </w:rPr>
        <w:lastRenderedPageBreak/>
        <w:t>咨询设计的工作原则</w:t>
      </w:r>
      <w:bookmarkEnd w:id="10"/>
    </w:p>
    <w:p w14:paraId="0F7AF4C2" w14:textId="77777777" w:rsidR="00F50365" w:rsidRDefault="00000000">
      <w:pPr>
        <w:ind w:firstLine="480"/>
        <w:rPr>
          <w:rFonts w:ascii="宋体"/>
          <w:sz w:val="24"/>
        </w:rPr>
      </w:pPr>
      <w:r>
        <w:rPr>
          <w:rFonts w:ascii="宋体" w:hint="eastAsia"/>
          <w:sz w:val="24"/>
        </w:rPr>
        <w:t>为了白山市公立医院改革与高质量发展信息化建设项目的建设能达到预期建设目标，在进行项目评估咨询时，工作原则包括：</w:t>
      </w:r>
    </w:p>
    <w:p w14:paraId="7B0C817A" w14:textId="77777777" w:rsidR="00F50365" w:rsidRDefault="00000000">
      <w:pPr>
        <w:ind w:firstLine="480"/>
        <w:rPr>
          <w:rFonts w:ascii="宋体"/>
          <w:sz w:val="24"/>
        </w:rPr>
      </w:pPr>
      <w:r>
        <w:rPr>
          <w:rFonts w:ascii="宋体" w:hint="eastAsia"/>
          <w:sz w:val="24"/>
        </w:rPr>
        <w:t>1、完整性：评估报告必须是完整的，对项目总体情况</w:t>
      </w:r>
      <w:r>
        <w:rPr>
          <w:rFonts w:ascii="宋体"/>
          <w:sz w:val="24"/>
        </w:rPr>
        <w:t>进行</w:t>
      </w:r>
      <w:r>
        <w:rPr>
          <w:rFonts w:ascii="宋体" w:hint="eastAsia"/>
          <w:sz w:val="24"/>
        </w:rPr>
        <w:t>评估</w:t>
      </w:r>
      <w:r>
        <w:rPr>
          <w:rFonts w:ascii="宋体"/>
          <w:sz w:val="24"/>
        </w:rPr>
        <w:t>，</w:t>
      </w:r>
      <w:r>
        <w:rPr>
          <w:rFonts w:ascii="宋体" w:hint="eastAsia"/>
          <w:sz w:val="24"/>
        </w:rPr>
        <w:t>提供可靠</w:t>
      </w:r>
      <w:r>
        <w:rPr>
          <w:rFonts w:ascii="宋体"/>
          <w:sz w:val="24"/>
        </w:rPr>
        <w:t>评估依据</w:t>
      </w:r>
      <w:r>
        <w:rPr>
          <w:rFonts w:ascii="宋体" w:hint="eastAsia"/>
          <w:sz w:val="24"/>
        </w:rPr>
        <w:t>，</w:t>
      </w:r>
      <w:r>
        <w:rPr>
          <w:rFonts w:ascii="宋体"/>
          <w:sz w:val="24"/>
        </w:rPr>
        <w:t>提供</w:t>
      </w:r>
      <w:r>
        <w:rPr>
          <w:rFonts w:ascii="宋体" w:hint="eastAsia"/>
          <w:sz w:val="24"/>
        </w:rPr>
        <w:t>项目</w:t>
      </w:r>
      <w:r>
        <w:rPr>
          <w:rFonts w:ascii="宋体"/>
          <w:sz w:val="24"/>
        </w:rPr>
        <w:t>各个方面的评估</w:t>
      </w:r>
      <w:r>
        <w:rPr>
          <w:rFonts w:ascii="宋体" w:hint="eastAsia"/>
          <w:sz w:val="24"/>
        </w:rPr>
        <w:t>意见，</w:t>
      </w:r>
      <w:r>
        <w:rPr>
          <w:rFonts w:ascii="宋体"/>
          <w:sz w:val="24"/>
        </w:rPr>
        <w:t>提供项目评估结论和建议，</w:t>
      </w:r>
      <w:r>
        <w:rPr>
          <w:rFonts w:ascii="宋体" w:hint="eastAsia"/>
          <w:sz w:val="24"/>
        </w:rPr>
        <w:t>提供专家</w:t>
      </w:r>
      <w:r>
        <w:rPr>
          <w:rFonts w:ascii="宋体"/>
          <w:sz w:val="24"/>
        </w:rPr>
        <w:t>评估意见</w:t>
      </w:r>
      <w:r>
        <w:rPr>
          <w:rFonts w:ascii="宋体" w:hint="eastAsia"/>
          <w:sz w:val="24"/>
        </w:rPr>
        <w:t>。</w:t>
      </w:r>
    </w:p>
    <w:p w14:paraId="29D01EB5" w14:textId="77777777" w:rsidR="00F50365" w:rsidRDefault="00000000">
      <w:pPr>
        <w:ind w:firstLine="480"/>
        <w:rPr>
          <w:rFonts w:ascii="宋体"/>
          <w:sz w:val="24"/>
        </w:rPr>
      </w:pPr>
      <w:r>
        <w:rPr>
          <w:rFonts w:ascii="宋体" w:hint="eastAsia"/>
          <w:sz w:val="24"/>
        </w:rPr>
        <w:t>2、系统性：评估报告必须是系统的，需要考虑单位之间，单位内部不同部门之间的逻辑关系，需要考虑哪些是已建成的，哪些数据可实现共享的，哪些是需要进一步优化的。</w:t>
      </w:r>
    </w:p>
    <w:p w14:paraId="3036C31F" w14:textId="77777777" w:rsidR="00F50365" w:rsidRDefault="00000000">
      <w:pPr>
        <w:ind w:firstLine="480"/>
        <w:rPr>
          <w:rFonts w:ascii="宋体"/>
          <w:sz w:val="24"/>
        </w:rPr>
      </w:pPr>
      <w:r>
        <w:rPr>
          <w:rFonts w:ascii="宋体" w:hint="eastAsia"/>
          <w:sz w:val="24"/>
        </w:rPr>
        <w:t>3、前瞻性：评估报告必须具有一定的前瞻性，能达到国内领先，国际先进的要求。</w:t>
      </w:r>
      <w:r>
        <w:rPr>
          <w:rFonts w:ascii="宋体"/>
          <w:sz w:val="24"/>
        </w:rPr>
        <w:t xml:space="preserve"> </w:t>
      </w:r>
    </w:p>
    <w:p w14:paraId="3FE84D09" w14:textId="77777777" w:rsidR="00F50365" w:rsidRDefault="00000000">
      <w:pPr>
        <w:ind w:firstLine="480"/>
        <w:rPr>
          <w:rFonts w:ascii="宋体"/>
          <w:sz w:val="24"/>
        </w:rPr>
      </w:pPr>
      <w:r>
        <w:rPr>
          <w:rFonts w:ascii="宋体" w:hint="eastAsia"/>
          <w:sz w:val="24"/>
        </w:rPr>
        <w:t>4、合规性：评估报告必须是合规，在符合实际需求的情况下</w:t>
      </w:r>
      <w:r>
        <w:rPr>
          <w:rFonts w:ascii="宋体"/>
          <w:sz w:val="24"/>
        </w:rPr>
        <w:t>，</w:t>
      </w:r>
      <w:r>
        <w:rPr>
          <w:rFonts w:ascii="宋体" w:hint="eastAsia"/>
          <w:sz w:val="24"/>
        </w:rPr>
        <w:t>能够</w:t>
      </w:r>
      <w:r>
        <w:rPr>
          <w:rFonts w:ascii="宋体"/>
          <w:sz w:val="24"/>
        </w:rPr>
        <w:t>满足</w:t>
      </w:r>
      <w:r>
        <w:rPr>
          <w:rFonts w:ascii="宋体" w:hint="eastAsia"/>
          <w:sz w:val="24"/>
        </w:rPr>
        <w:t>符合</w:t>
      </w:r>
      <w:r>
        <w:rPr>
          <w:rFonts w:ascii="宋体"/>
          <w:sz w:val="24"/>
        </w:rPr>
        <w:t>最新技术要求</w:t>
      </w:r>
      <w:r>
        <w:rPr>
          <w:rFonts w:ascii="宋体" w:hint="eastAsia"/>
          <w:sz w:val="24"/>
        </w:rPr>
        <w:t>，</w:t>
      </w:r>
      <w:r>
        <w:rPr>
          <w:rFonts w:ascii="宋体"/>
          <w:sz w:val="24"/>
        </w:rPr>
        <w:t>能够满足国家、省</w:t>
      </w:r>
      <w:r>
        <w:rPr>
          <w:rFonts w:ascii="宋体" w:hint="eastAsia"/>
          <w:sz w:val="24"/>
        </w:rPr>
        <w:t>、</w:t>
      </w:r>
      <w:r>
        <w:rPr>
          <w:rFonts w:ascii="宋体"/>
          <w:sz w:val="24"/>
        </w:rPr>
        <w:t>市、区政策要求，能够符合行业</w:t>
      </w:r>
      <w:r>
        <w:rPr>
          <w:rFonts w:ascii="宋体" w:hint="eastAsia"/>
          <w:sz w:val="24"/>
        </w:rPr>
        <w:t>标准、</w:t>
      </w:r>
      <w:r>
        <w:rPr>
          <w:rFonts w:ascii="宋体"/>
          <w:sz w:val="24"/>
        </w:rPr>
        <w:t>行业常规</w:t>
      </w:r>
      <w:r>
        <w:rPr>
          <w:rFonts w:ascii="宋体" w:hint="eastAsia"/>
          <w:sz w:val="24"/>
        </w:rPr>
        <w:t>要求，</w:t>
      </w:r>
      <w:r>
        <w:rPr>
          <w:rFonts w:ascii="宋体"/>
          <w:sz w:val="24"/>
        </w:rPr>
        <w:t>能够符合市场发展</w:t>
      </w:r>
      <w:r>
        <w:rPr>
          <w:rFonts w:ascii="宋体" w:hint="eastAsia"/>
          <w:sz w:val="24"/>
        </w:rPr>
        <w:t>要求。。</w:t>
      </w:r>
    </w:p>
    <w:p w14:paraId="4DE024C4" w14:textId="77777777" w:rsidR="00F50365" w:rsidRDefault="00000000">
      <w:pPr>
        <w:ind w:firstLine="480"/>
        <w:rPr>
          <w:rFonts w:ascii="宋体"/>
          <w:sz w:val="24"/>
        </w:rPr>
      </w:pPr>
      <w:r>
        <w:rPr>
          <w:rFonts w:ascii="宋体" w:hint="eastAsia"/>
          <w:sz w:val="24"/>
        </w:rPr>
        <w:t>5、全局性：评估报告必须从全局出发，使各项建设内容达到合理、可靠、安全、经济的目的。</w:t>
      </w:r>
    </w:p>
    <w:p w14:paraId="2AEF4C85" w14:textId="77777777" w:rsidR="00F50365" w:rsidRDefault="00000000">
      <w:pPr>
        <w:ind w:firstLine="480"/>
        <w:rPr>
          <w:rFonts w:ascii="宋体"/>
          <w:sz w:val="24"/>
        </w:rPr>
      </w:pPr>
      <w:r>
        <w:rPr>
          <w:rFonts w:ascii="宋体" w:hint="eastAsia"/>
          <w:sz w:val="24"/>
        </w:rPr>
        <w:t>6、专业性：评估报告严格评估</w:t>
      </w:r>
      <w:r>
        <w:rPr>
          <w:rFonts w:ascii="宋体"/>
          <w:sz w:val="24"/>
        </w:rPr>
        <w:t>项目建设内容</w:t>
      </w:r>
      <w:r>
        <w:rPr>
          <w:rFonts w:ascii="宋体" w:hint="eastAsia"/>
          <w:sz w:val="24"/>
        </w:rPr>
        <w:t>、建设依据</w:t>
      </w:r>
      <w:r>
        <w:rPr>
          <w:rFonts w:ascii="宋体"/>
          <w:sz w:val="24"/>
        </w:rPr>
        <w:t>、</w:t>
      </w:r>
      <w:r>
        <w:rPr>
          <w:rFonts w:ascii="宋体" w:hint="eastAsia"/>
          <w:sz w:val="24"/>
        </w:rPr>
        <w:t>定额</w:t>
      </w:r>
      <w:r>
        <w:rPr>
          <w:rFonts w:ascii="宋体"/>
          <w:sz w:val="24"/>
        </w:rPr>
        <w:t>、取费的</w:t>
      </w:r>
      <w:r>
        <w:rPr>
          <w:rFonts w:ascii="宋体" w:hint="eastAsia"/>
          <w:sz w:val="24"/>
        </w:rPr>
        <w:t>合理</w:t>
      </w:r>
      <w:r>
        <w:rPr>
          <w:rFonts w:ascii="宋体"/>
          <w:sz w:val="24"/>
        </w:rPr>
        <w:t>性，</w:t>
      </w:r>
      <w:r>
        <w:rPr>
          <w:rFonts w:ascii="宋体" w:hint="eastAsia"/>
          <w:sz w:val="24"/>
        </w:rPr>
        <w:t>避免</w:t>
      </w:r>
      <w:r>
        <w:rPr>
          <w:rFonts w:ascii="宋体"/>
          <w:sz w:val="24"/>
        </w:rPr>
        <w:t>项目建设风险和漏洞，</w:t>
      </w:r>
      <w:r>
        <w:rPr>
          <w:rFonts w:ascii="宋体" w:hint="eastAsia"/>
          <w:sz w:val="24"/>
        </w:rPr>
        <w:t>提出</w:t>
      </w:r>
      <w:r>
        <w:rPr>
          <w:rFonts w:ascii="宋体"/>
          <w:sz w:val="24"/>
        </w:rPr>
        <w:t>规避建议</w:t>
      </w:r>
      <w:r>
        <w:rPr>
          <w:rFonts w:ascii="宋体" w:hint="eastAsia"/>
          <w:sz w:val="24"/>
        </w:rPr>
        <w:t>。</w:t>
      </w:r>
    </w:p>
    <w:p w14:paraId="39575193" w14:textId="77777777" w:rsidR="00F50365" w:rsidRDefault="00F50365">
      <w:pPr>
        <w:ind w:firstLine="420"/>
      </w:pPr>
    </w:p>
    <w:p w14:paraId="65E14446" w14:textId="77777777" w:rsidR="00F50365" w:rsidRDefault="00000000">
      <w:pPr>
        <w:pStyle w:val="1"/>
      </w:pPr>
      <w:bookmarkStart w:id="11" w:name="_Toc181013068"/>
      <w:r>
        <w:rPr>
          <w:rFonts w:hint="eastAsia"/>
        </w:rPr>
        <w:lastRenderedPageBreak/>
        <w:t>咨询设计工作内容</w:t>
      </w:r>
      <w:bookmarkEnd w:id="11"/>
    </w:p>
    <w:p w14:paraId="0E052366" w14:textId="77777777" w:rsidR="00F50365" w:rsidRDefault="00000000">
      <w:pPr>
        <w:pStyle w:val="2"/>
      </w:pPr>
      <w:bookmarkStart w:id="12" w:name="_Toc181013069"/>
      <w:r>
        <w:rPr>
          <w:rFonts w:hint="eastAsia"/>
        </w:rPr>
        <w:t>《白山市公立医院改革与高质量发展信息化建设项目现状需求分析报告》编制</w:t>
      </w:r>
      <w:bookmarkEnd w:id="12"/>
    </w:p>
    <w:p w14:paraId="762BBE18" w14:textId="77777777" w:rsidR="00F50365" w:rsidRDefault="00000000">
      <w:pPr>
        <w:pStyle w:val="0"/>
        <w:ind w:firstLine="420"/>
      </w:pPr>
      <w:r>
        <w:rPr>
          <w:rFonts w:hint="eastAsia"/>
        </w:rPr>
        <w:t>通过调研、访谈，了解采购人信息化现状和项目资源规划的总体需求，根据采购人要求以及项目方案，完成白山市公立医院改革与高质量发展信息化建设项目的需求确认及补充调研。确认采购人需求后，依据所有调研报告及访谈记录进行现状总结及需求分析</w:t>
      </w:r>
      <w:r>
        <w:rPr>
          <w:rFonts w:hint="eastAsia"/>
          <w:bCs/>
        </w:rPr>
        <w:t>，</w:t>
      </w:r>
      <w:r>
        <w:rPr>
          <w:rFonts w:hint="eastAsia"/>
        </w:rPr>
        <w:t>根据功能、流程进行初步的设计，构造出</w:t>
      </w:r>
      <w:hyperlink r:id="rId7" w:history="1">
        <w:r>
          <w:t>业务流程图</w:t>
        </w:r>
      </w:hyperlink>
      <w:r>
        <w:rPr>
          <w:rFonts w:hint="eastAsia"/>
        </w:rPr>
        <w:t>，再让采购人进行评审，通过深入分析总结出项目需求分析报告并得到用户确认，完成《白山市公立医院改革与高质量发展信息化建设项目现状需求分析报告》的编制。</w:t>
      </w:r>
    </w:p>
    <w:p w14:paraId="072887D9" w14:textId="77777777" w:rsidR="00F50365" w:rsidRDefault="00000000">
      <w:pPr>
        <w:pStyle w:val="2"/>
      </w:pPr>
      <w:bookmarkStart w:id="13" w:name="_Toc181013070"/>
      <w:r>
        <w:rPr>
          <w:rFonts w:hint="eastAsia"/>
        </w:rPr>
        <w:t>《白山市公立医院改革与高质量发展信息化建设项目可行性研究报告、初步设计方案》编制</w:t>
      </w:r>
      <w:bookmarkEnd w:id="13"/>
    </w:p>
    <w:p w14:paraId="38F03D50" w14:textId="77777777" w:rsidR="00F50365" w:rsidRDefault="00000000">
      <w:pPr>
        <w:pStyle w:val="0"/>
        <w:ind w:firstLine="420"/>
      </w:pPr>
      <w:r>
        <w:rPr>
          <w:rFonts w:hint="eastAsia"/>
        </w:rPr>
        <w:t>通过前期信息化数据导入，明确项目的目标、范围、主要内容、人员组织保障、项目执行计划、实施进度、项目管理规范等，根据项目的建设目标，基于前期的现状调研，结合最佳实践分析和行业趋势分析，对进行差距分析，提出基于信息技术，符合发展战略；</w:t>
      </w:r>
    </w:p>
    <w:p w14:paraId="736D09B7" w14:textId="77777777" w:rsidR="00F50365" w:rsidRDefault="00000000">
      <w:pPr>
        <w:pStyle w:val="0"/>
        <w:ind w:firstLine="420"/>
      </w:pPr>
      <w:r>
        <w:rPr>
          <w:rFonts w:hint="eastAsia"/>
        </w:rPr>
        <w:t>1</w:t>
      </w:r>
      <w:r>
        <w:rPr>
          <w:rFonts w:hint="eastAsia"/>
        </w:rPr>
        <w:t>、设计总体架构。在需求分析的基础上，进行应用蓝图、数据蓝图、集成蓝图、基础蓝图和</w:t>
      </w:r>
      <w:r>
        <w:rPr>
          <w:rFonts w:hint="eastAsia"/>
        </w:rPr>
        <w:t>IT</w:t>
      </w:r>
      <w:r>
        <w:rPr>
          <w:rFonts w:hint="eastAsia"/>
        </w:rPr>
        <w:t>管控蓝图的设计。在设计过程中，对方案进行技术、实现方式和建设阶段分析，作好系统数据的一体化设计和相关业务系统的协同工作设计，评估项目建设的风险，编制出完整的总体设计方案；</w:t>
      </w:r>
    </w:p>
    <w:p w14:paraId="391AA1A6" w14:textId="77777777" w:rsidR="00F50365" w:rsidRDefault="00000000">
      <w:pPr>
        <w:pStyle w:val="0"/>
        <w:ind w:firstLine="420"/>
      </w:pPr>
      <w:r>
        <w:rPr>
          <w:rFonts w:hint="eastAsia"/>
        </w:rPr>
        <w:t>2</w:t>
      </w:r>
      <w:r>
        <w:rPr>
          <w:rFonts w:hint="eastAsia"/>
        </w:rPr>
        <w:t>、初步设计。根据的发展目标要求，确定信息化建设的总体指导原则，包括编制依据、指导思想、发展原则、总体框架设计、技术路线、应用系统功能建设、网络系统建设、应用支撑平台建设、安全系统平台以及其他配套建设等。分析并提出项目总体投资估算，相应标准规范、政策和建设模式以及相关保障措施等建议。提出资源整合、信息共享的解决思路，以及运维体系的建议等。</w:t>
      </w:r>
    </w:p>
    <w:p w14:paraId="4DB833FF" w14:textId="77777777" w:rsidR="00F50365" w:rsidRDefault="00000000">
      <w:pPr>
        <w:pStyle w:val="0"/>
        <w:ind w:firstLine="420"/>
      </w:pPr>
      <w:r>
        <w:rPr>
          <w:rFonts w:hint="eastAsia"/>
        </w:rPr>
        <w:t>3</w:t>
      </w:r>
      <w:r>
        <w:rPr>
          <w:rFonts w:hint="eastAsia"/>
        </w:rPr>
        <w:t>、划分各项目的建设阶段（期）。根据总体框架，针对各子系统进行相关度和聚类分析，</w:t>
      </w:r>
      <w:r>
        <w:rPr>
          <w:rFonts w:hint="eastAsia"/>
        </w:rPr>
        <w:lastRenderedPageBreak/>
        <w:t>然后对整个项目进行子项目的划分。以此为基础，进行项目工作。</w:t>
      </w:r>
    </w:p>
    <w:p w14:paraId="2EAF9D8C" w14:textId="77777777" w:rsidR="00F50365" w:rsidRDefault="00000000">
      <w:pPr>
        <w:pStyle w:val="2"/>
      </w:pPr>
      <w:bookmarkStart w:id="14" w:name="_Toc181013071"/>
      <w:r>
        <w:rPr>
          <w:rFonts w:hint="eastAsia"/>
        </w:rPr>
        <w:t>《白山市公立医院改革与高质量发展信息化建设项目招标需求书》编制</w:t>
      </w:r>
      <w:bookmarkEnd w:id="14"/>
    </w:p>
    <w:p w14:paraId="223BCA85" w14:textId="77777777" w:rsidR="00F50365" w:rsidRDefault="00000000">
      <w:pPr>
        <w:pStyle w:val="0"/>
        <w:ind w:firstLine="420"/>
      </w:pPr>
      <w:r>
        <w:rPr>
          <w:rFonts w:hint="eastAsia"/>
        </w:rPr>
        <w:t>协助甲方明确各子项目招标需求说明书，应包括对于供应商承接本项项目所要求使用到技术路线要求、设备选型要求、数据共享要求、安全保密要求、应用软件主要功能等，且符合相应的技术标准规范、招标法及当地招标代理机构的要求。</w:t>
      </w:r>
    </w:p>
    <w:p w14:paraId="6AD50ECE" w14:textId="77777777" w:rsidR="00F50365" w:rsidRDefault="00000000">
      <w:pPr>
        <w:pStyle w:val="1"/>
      </w:pPr>
      <w:bookmarkStart w:id="15" w:name="_Toc181013072"/>
      <w:r>
        <w:rPr>
          <w:rFonts w:hint="eastAsia"/>
        </w:rPr>
        <w:lastRenderedPageBreak/>
        <w:t>咨询设计方案</w:t>
      </w:r>
      <w:r>
        <w:t>编制重点</w:t>
      </w:r>
      <w:bookmarkEnd w:id="15"/>
    </w:p>
    <w:p w14:paraId="0AA5E169" w14:textId="77777777" w:rsidR="00F50365" w:rsidRDefault="00000000">
      <w:pPr>
        <w:pStyle w:val="0"/>
        <w:ind w:firstLine="420"/>
      </w:pPr>
      <w:r>
        <w:rPr>
          <w:rFonts w:hint="eastAsia"/>
        </w:rPr>
        <w:t>在编制咨询设计文件前，应充分了解和确定以下相关内容：</w:t>
      </w:r>
    </w:p>
    <w:p w14:paraId="18C53444" w14:textId="77777777" w:rsidR="00F50365" w:rsidRDefault="00000000">
      <w:pPr>
        <w:pStyle w:val="0"/>
        <w:numPr>
          <w:ilvl w:val="0"/>
          <w:numId w:val="1"/>
        </w:numPr>
        <w:ind w:firstLineChars="0"/>
      </w:pPr>
      <w:r>
        <w:rPr>
          <w:rFonts w:hint="eastAsia"/>
        </w:rPr>
        <w:t>建设背景；</w:t>
      </w:r>
    </w:p>
    <w:p w14:paraId="6072D43E" w14:textId="77777777" w:rsidR="00F50365" w:rsidRDefault="00000000">
      <w:pPr>
        <w:pStyle w:val="0"/>
        <w:numPr>
          <w:ilvl w:val="0"/>
          <w:numId w:val="1"/>
        </w:numPr>
        <w:ind w:firstLineChars="0"/>
      </w:pPr>
      <w:r>
        <w:rPr>
          <w:rFonts w:hint="eastAsia"/>
        </w:rPr>
        <w:t>建设特点；</w:t>
      </w:r>
    </w:p>
    <w:p w14:paraId="30452990" w14:textId="77777777" w:rsidR="00F50365" w:rsidRDefault="00000000">
      <w:pPr>
        <w:pStyle w:val="0"/>
        <w:numPr>
          <w:ilvl w:val="0"/>
          <w:numId w:val="1"/>
        </w:numPr>
        <w:ind w:firstLineChars="0"/>
      </w:pPr>
      <w:r>
        <w:rPr>
          <w:rFonts w:hint="eastAsia"/>
        </w:rPr>
        <w:t>建设目标；</w:t>
      </w:r>
    </w:p>
    <w:p w14:paraId="68584763" w14:textId="77777777" w:rsidR="00F50365" w:rsidRDefault="00000000">
      <w:pPr>
        <w:pStyle w:val="0"/>
        <w:numPr>
          <w:ilvl w:val="0"/>
          <w:numId w:val="1"/>
        </w:numPr>
        <w:ind w:firstLineChars="0"/>
      </w:pPr>
      <w:r>
        <w:rPr>
          <w:rFonts w:hint="eastAsia"/>
        </w:rPr>
        <w:t>信息化现状（包括现有的资源和管理模式）和需求；</w:t>
      </w:r>
    </w:p>
    <w:p w14:paraId="1DB78525" w14:textId="77777777" w:rsidR="00F50365" w:rsidRDefault="00000000">
      <w:pPr>
        <w:pStyle w:val="0"/>
        <w:numPr>
          <w:ilvl w:val="0"/>
          <w:numId w:val="1"/>
        </w:numPr>
        <w:ind w:firstLineChars="0"/>
      </w:pPr>
      <w:r>
        <w:rPr>
          <w:rFonts w:hint="eastAsia"/>
        </w:rPr>
        <w:t>业务现状和改进完善的需求；</w:t>
      </w:r>
    </w:p>
    <w:p w14:paraId="247BB0AA" w14:textId="77777777" w:rsidR="00F50365" w:rsidRDefault="00000000">
      <w:pPr>
        <w:pStyle w:val="0"/>
        <w:numPr>
          <w:ilvl w:val="0"/>
          <w:numId w:val="1"/>
        </w:numPr>
        <w:ind w:firstLineChars="0"/>
      </w:pPr>
      <w:r>
        <w:rPr>
          <w:rFonts w:hint="eastAsia"/>
        </w:rPr>
        <w:t>引用的标准和指导性文件；</w:t>
      </w:r>
    </w:p>
    <w:p w14:paraId="38352387" w14:textId="77777777" w:rsidR="00F50365" w:rsidRDefault="00000000">
      <w:pPr>
        <w:pStyle w:val="0"/>
        <w:numPr>
          <w:ilvl w:val="0"/>
          <w:numId w:val="1"/>
        </w:numPr>
        <w:ind w:firstLineChars="0"/>
      </w:pPr>
      <w:r>
        <w:rPr>
          <w:rFonts w:hint="eastAsia"/>
        </w:rPr>
        <w:t>总体框架；</w:t>
      </w:r>
    </w:p>
    <w:p w14:paraId="69A0CD9A" w14:textId="77777777" w:rsidR="00F50365" w:rsidRDefault="00000000">
      <w:pPr>
        <w:pStyle w:val="0"/>
        <w:numPr>
          <w:ilvl w:val="0"/>
          <w:numId w:val="1"/>
        </w:numPr>
        <w:ind w:firstLineChars="0"/>
      </w:pPr>
      <w:r>
        <w:rPr>
          <w:rFonts w:hint="eastAsia"/>
        </w:rPr>
        <w:t>项目分解和相关各专项技术方案；</w:t>
      </w:r>
    </w:p>
    <w:p w14:paraId="58FC8BCC" w14:textId="77777777" w:rsidR="00F50365" w:rsidRDefault="00000000">
      <w:pPr>
        <w:pStyle w:val="0"/>
        <w:numPr>
          <w:ilvl w:val="0"/>
          <w:numId w:val="1"/>
        </w:numPr>
        <w:ind w:firstLineChars="0"/>
      </w:pPr>
      <w:r>
        <w:rPr>
          <w:rFonts w:hint="eastAsia"/>
        </w:rPr>
        <w:t>项目预算。</w:t>
      </w:r>
    </w:p>
    <w:p w14:paraId="6B8BFECD" w14:textId="77777777" w:rsidR="00F50365" w:rsidRDefault="00000000">
      <w:pPr>
        <w:pStyle w:val="0"/>
        <w:ind w:firstLine="422"/>
        <w:rPr>
          <w:b/>
          <w:bCs/>
        </w:rPr>
      </w:pPr>
      <w:r>
        <w:rPr>
          <w:rFonts w:hint="eastAsia"/>
          <w:b/>
          <w:bCs/>
        </w:rPr>
        <w:t>方案编制主线</w:t>
      </w:r>
      <w:r>
        <w:rPr>
          <w:b/>
          <w:bCs/>
        </w:rPr>
        <w:t>:</w:t>
      </w:r>
    </w:p>
    <w:p w14:paraId="74BAFBAD" w14:textId="77777777" w:rsidR="00F50365" w:rsidRDefault="00000000">
      <w:pPr>
        <w:pStyle w:val="0"/>
        <w:ind w:firstLine="420"/>
      </w:pPr>
      <w:r>
        <w:rPr>
          <w:rFonts w:hint="eastAsia"/>
        </w:rPr>
        <w:t>立项方案的编制主线就是在方案编制时要清楚这个项目（</w:t>
      </w:r>
      <w:r>
        <w:rPr>
          <w:rFonts w:hint="eastAsia"/>
        </w:rPr>
        <w:t>1</w:t>
      </w:r>
      <w:r>
        <w:rPr>
          <w:rFonts w:hint="eastAsia"/>
        </w:rPr>
        <w:t>）要做什么</w:t>
      </w:r>
      <w:r>
        <w:rPr>
          <w:rFonts w:hint="eastAsia"/>
        </w:rPr>
        <w:t>?</w:t>
      </w:r>
      <w:r>
        <w:rPr>
          <w:rFonts w:hint="eastAsia"/>
        </w:rPr>
        <w:t>（</w:t>
      </w:r>
      <w:r>
        <w:rPr>
          <w:rFonts w:hint="eastAsia"/>
        </w:rPr>
        <w:t>2</w:t>
      </w:r>
      <w:r>
        <w:rPr>
          <w:rFonts w:hint="eastAsia"/>
        </w:rPr>
        <w:t>）为什么要做</w:t>
      </w:r>
      <w:r>
        <w:rPr>
          <w:rFonts w:hint="eastAsia"/>
        </w:rPr>
        <w:t>?</w:t>
      </w:r>
      <w:r>
        <w:rPr>
          <w:rFonts w:hint="eastAsia"/>
        </w:rPr>
        <w:t>（</w:t>
      </w:r>
      <w:r>
        <w:rPr>
          <w:rFonts w:hint="eastAsia"/>
        </w:rPr>
        <w:t>3</w:t>
      </w:r>
      <w:r>
        <w:rPr>
          <w:rFonts w:hint="eastAsia"/>
        </w:rPr>
        <w:t>）如何做</w:t>
      </w:r>
      <w:r>
        <w:rPr>
          <w:rFonts w:hint="eastAsia"/>
        </w:rPr>
        <w:t>?</w:t>
      </w:r>
      <w:r>
        <w:rPr>
          <w:rFonts w:hint="eastAsia"/>
        </w:rPr>
        <w:t>（</w:t>
      </w:r>
      <w:r>
        <w:rPr>
          <w:rFonts w:hint="eastAsia"/>
        </w:rPr>
        <w:t>4</w:t>
      </w:r>
      <w:r>
        <w:rPr>
          <w:rFonts w:hint="eastAsia"/>
        </w:rPr>
        <w:t>）用多少钱来做</w:t>
      </w:r>
      <w:r>
        <w:rPr>
          <w:rFonts w:hint="eastAsia"/>
        </w:rPr>
        <w:t>?</w:t>
      </w:r>
      <w:r>
        <w:rPr>
          <w:rFonts w:hint="eastAsia"/>
        </w:rPr>
        <w:t>对应方案就是（</w:t>
      </w:r>
      <w:r>
        <w:rPr>
          <w:rFonts w:hint="eastAsia"/>
        </w:rPr>
        <w:t>1</w:t>
      </w:r>
      <w:r>
        <w:rPr>
          <w:rFonts w:hint="eastAsia"/>
        </w:rPr>
        <w:t>）建设内容是什么？（</w:t>
      </w:r>
      <w:r>
        <w:rPr>
          <w:rFonts w:hint="eastAsia"/>
        </w:rPr>
        <w:t>2</w:t>
      </w:r>
      <w:r>
        <w:rPr>
          <w:rFonts w:hint="eastAsia"/>
        </w:rPr>
        <w:t>）现状及存在问题</w:t>
      </w:r>
      <w:r>
        <w:rPr>
          <w:rFonts w:hint="eastAsia"/>
        </w:rPr>
        <w:t>?</w:t>
      </w:r>
      <w:r>
        <w:rPr>
          <w:rFonts w:hint="eastAsia"/>
        </w:rPr>
        <w:t>（</w:t>
      </w:r>
      <w:r>
        <w:rPr>
          <w:rFonts w:hint="eastAsia"/>
        </w:rPr>
        <w:t>3</w:t>
      </w:r>
      <w:r>
        <w:rPr>
          <w:rFonts w:hint="eastAsia"/>
        </w:rPr>
        <w:t>）需求和实现？（</w:t>
      </w:r>
      <w:r>
        <w:rPr>
          <w:rFonts w:hint="eastAsia"/>
        </w:rPr>
        <w:t>4</w:t>
      </w:r>
      <w:r>
        <w:rPr>
          <w:rFonts w:hint="eastAsia"/>
        </w:rPr>
        <w:t>）投资概算？</w:t>
      </w:r>
    </w:p>
    <w:p w14:paraId="445609C4" w14:textId="77777777" w:rsidR="00F50365" w:rsidRDefault="00000000">
      <w:pPr>
        <w:pStyle w:val="0"/>
        <w:ind w:firstLine="420"/>
      </w:pPr>
      <w:r>
        <w:rPr>
          <w:rFonts w:hint="eastAsia"/>
        </w:rPr>
        <w:t>咨询设计文件的编制要清楚以下</w:t>
      </w:r>
      <w:r>
        <w:rPr>
          <w:rFonts w:hint="eastAsia"/>
        </w:rPr>
        <w:t>2W+2H</w:t>
      </w:r>
      <w:r>
        <w:rPr>
          <w:rFonts w:hint="eastAsia"/>
        </w:rPr>
        <w:t>：</w:t>
      </w:r>
    </w:p>
    <w:tbl>
      <w:tblPr>
        <w:tblW w:w="5000" w:type="pct"/>
        <w:tblInd w:w="108" w:type="dxa"/>
        <w:tblLook w:val="0000" w:firstRow="0" w:lastRow="0" w:firstColumn="0" w:lastColumn="0" w:noHBand="0" w:noVBand="0"/>
      </w:tblPr>
      <w:tblGrid>
        <w:gridCol w:w="1168"/>
        <w:gridCol w:w="1364"/>
        <w:gridCol w:w="1358"/>
        <w:gridCol w:w="1537"/>
        <w:gridCol w:w="2016"/>
        <w:gridCol w:w="1079"/>
      </w:tblGrid>
      <w:tr w:rsidR="00F50365" w14:paraId="134C8365" w14:textId="77777777">
        <w:trPr>
          <w:trHeight w:val="405"/>
          <w:tblHeader/>
        </w:trPr>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19007" w14:textId="77777777" w:rsidR="00F50365" w:rsidRDefault="00000000">
            <w:pPr>
              <w:pStyle w:val="02"/>
              <w:rPr>
                <w:b w:val="0"/>
                <w:bCs/>
              </w:rPr>
            </w:pPr>
            <w:r>
              <w:rPr>
                <w:rFonts w:hint="eastAsia"/>
                <w:b w:val="0"/>
                <w:bCs/>
              </w:rPr>
              <w:t>2W+2H</w:t>
            </w:r>
          </w:p>
        </w:tc>
        <w:tc>
          <w:tcPr>
            <w:tcW w:w="800" w:type="pct"/>
            <w:tcBorders>
              <w:top w:val="single" w:sz="4" w:space="0" w:color="000000"/>
              <w:left w:val="nil"/>
              <w:bottom w:val="single" w:sz="4" w:space="0" w:color="000000"/>
              <w:right w:val="single" w:sz="4" w:space="0" w:color="000000"/>
            </w:tcBorders>
            <w:shd w:val="clear" w:color="auto" w:fill="auto"/>
            <w:vAlign w:val="center"/>
          </w:tcPr>
          <w:p w14:paraId="23BF1EA2" w14:textId="77777777" w:rsidR="00F50365" w:rsidRDefault="00000000">
            <w:pPr>
              <w:pStyle w:val="02"/>
              <w:rPr>
                <w:b w:val="0"/>
                <w:bCs/>
              </w:rPr>
            </w:pPr>
            <w:r>
              <w:rPr>
                <w:rFonts w:hint="eastAsia"/>
                <w:b w:val="0"/>
                <w:bCs/>
              </w:rPr>
              <w:t>1</w:t>
            </w:r>
            <w:r>
              <w:rPr>
                <w:rFonts w:hint="eastAsia"/>
                <w:b w:val="0"/>
                <w:bCs/>
              </w:rPr>
              <w:t>层次</w:t>
            </w:r>
          </w:p>
        </w:tc>
        <w:tc>
          <w:tcPr>
            <w:tcW w:w="797" w:type="pct"/>
            <w:tcBorders>
              <w:top w:val="single" w:sz="4" w:space="0" w:color="000000"/>
              <w:left w:val="nil"/>
              <w:bottom w:val="single" w:sz="4" w:space="0" w:color="000000"/>
              <w:right w:val="single" w:sz="4" w:space="0" w:color="000000"/>
            </w:tcBorders>
            <w:shd w:val="clear" w:color="auto" w:fill="auto"/>
            <w:vAlign w:val="center"/>
          </w:tcPr>
          <w:p w14:paraId="7606E844" w14:textId="77777777" w:rsidR="00F50365" w:rsidRDefault="00000000">
            <w:pPr>
              <w:pStyle w:val="02"/>
              <w:rPr>
                <w:b w:val="0"/>
                <w:bCs/>
              </w:rPr>
            </w:pPr>
            <w:r>
              <w:rPr>
                <w:rFonts w:hint="eastAsia"/>
                <w:b w:val="0"/>
                <w:bCs/>
              </w:rPr>
              <w:t>2</w:t>
            </w:r>
            <w:r>
              <w:rPr>
                <w:rFonts w:hint="eastAsia"/>
                <w:b w:val="0"/>
                <w:bCs/>
              </w:rPr>
              <w:t>层次</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02097A7C" w14:textId="77777777" w:rsidR="00F50365" w:rsidRDefault="00000000">
            <w:pPr>
              <w:pStyle w:val="02"/>
              <w:rPr>
                <w:b w:val="0"/>
                <w:bCs/>
              </w:rPr>
            </w:pPr>
            <w:r>
              <w:rPr>
                <w:rFonts w:hint="eastAsia"/>
                <w:b w:val="0"/>
                <w:bCs/>
              </w:rPr>
              <w:t>3</w:t>
            </w:r>
            <w:r>
              <w:rPr>
                <w:rFonts w:hint="eastAsia"/>
                <w:b w:val="0"/>
                <w:bCs/>
              </w:rPr>
              <w:t>层次</w:t>
            </w:r>
          </w:p>
        </w:tc>
        <w:tc>
          <w:tcPr>
            <w:tcW w:w="1183" w:type="pct"/>
            <w:tcBorders>
              <w:top w:val="single" w:sz="4" w:space="0" w:color="000000"/>
              <w:left w:val="nil"/>
              <w:bottom w:val="single" w:sz="4" w:space="0" w:color="000000"/>
              <w:right w:val="single" w:sz="4" w:space="0" w:color="000000"/>
            </w:tcBorders>
            <w:shd w:val="clear" w:color="auto" w:fill="auto"/>
            <w:vAlign w:val="center"/>
          </w:tcPr>
          <w:p w14:paraId="40AC8B3D" w14:textId="77777777" w:rsidR="00F50365" w:rsidRDefault="00000000">
            <w:pPr>
              <w:pStyle w:val="02"/>
              <w:rPr>
                <w:b w:val="0"/>
                <w:bCs/>
              </w:rPr>
            </w:pPr>
            <w:r>
              <w:rPr>
                <w:rFonts w:hint="eastAsia"/>
                <w:b w:val="0"/>
                <w:bCs/>
              </w:rPr>
              <w:t>4</w:t>
            </w:r>
            <w:r>
              <w:rPr>
                <w:rFonts w:hint="eastAsia"/>
                <w:b w:val="0"/>
                <w:bCs/>
              </w:rPr>
              <w:t>层次</w:t>
            </w:r>
          </w:p>
        </w:tc>
        <w:tc>
          <w:tcPr>
            <w:tcW w:w="633" w:type="pct"/>
            <w:tcBorders>
              <w:top w:val="single" w:sz="4" w:space="0" w:color="000000"/>
              <w:left w:val="nil"/>
              <w:bottom w:val="single" w:sz="4" w:space="0" w:color="000000"/>
              <w:right w:val="single" w:sz="4" w:space="0" w:color="000000"/>
            </w:tcBorders>
            <w:shd w:val="clear" w:color="auto" w:fill="auto"/>
            <w:vAlign w:val="center"/>
          </w:tcPr>
          <w:p w14:paraId="366672BD" w14:textId="77777777" w:rsidR="00F50365" w:rsidRDefault="00000000">
            <w:pPr>
              <w:pStyle w:val="02"/>
              <w:rPr>
                <w:b w:val="0"/>
                <w:bCs/>
              </w:rPr>
            </w:pPr>
            <w:r>
              <w:rPr>
                <w:rFonts w:hint="eastAsia"/>
                <w:b w:val="0"/>
                <w:bCs/>
              </w:rPr>
              <w:t>结论</w:t>
            </w:r>
          </w:p>
        </w:tc>
      </w:tr>
      <w:tr w:rsidR="00F50365" w14:paraId="1D9AC575" w14:textId="77777777">
        <w:trPr>
          <w:trHeight w:val="810"/>
        </w:trPr>
        <w:tc>
          <w:tcPr>
            <w:tcW w:w="685" w:type="pct"/>
            <w:tcBorders>
              <w:top w:val="nil"/>
              <w:left w:val="single" w:sz="4" w:space="0" w:color="000000"/>
              <w:bottom w:val="single" w:sz="4" w:space="0" w:color="000000"/>
              <w:right w:val="single" w:sz="4" w:space="0" w:color="000000"/>
            </w:tcBorders>
            <w:shd w:val="clear" w:color="auto" w:fill="auto"/>
            <w:vAlign w:val="center"/>
          </w:tcPr>
          <w:p w14:paraId="79597F26" w14:textId="77777777" w:rsidR="00F50365" w:rsidRDefault="00000000">
            <w:pPr>
              <w:pStyle w:val="02"/>
              <w:rPr>
                <w:b w:val="0"/>
                <w:bCs/>
              </w:rPr>
            </w:pPr>
            <w:r>
              <w:rPr>
                <w:rFonts w:hint="eastAsia"/>
                <w:b w:val="0"/>
                <w:bCs/>
              </w:rPr>
              <w:t>WHY</w:t>
            </w:r>
          </w:p>
        </w:tc>
        <w:tc>
          <w:tcPr>
            <w:tcW w:w="800" w:type="pct"/>
            <w:tcBorders>
              <w:top w:val="nil"/>
              <w:left w:val="nil"/>
              <w:bottom w:val="single" w:sz="4" w:space="0" w:color="000000"/>
              <w:right w:val="single" w:sz="4" w:space="0" w:color="000000"/>
            </w:tcBorders>
            <w:shd w:val="clear" w:color="auto" w:fill="auto"/>
            <w:vAlign w:val="center"/>
          </w:tcPr>
          <w:p w14:paraId="796FBD40" w14:textId="77777777" w:rsidR="00F50365" w:rsidRDefault="00000000">
            <w:pPr>
              <w:pStyle w:val="02"/>
              <w:rPr>
                <w:b w:val="0"/>
                <w:bCs/>
              </w:rPr>
            </w:pPr>
            <w:r>
              <w:rPr>
                <w:rFonts w:hint="eastAsia"/>
                <w:b w:val="0"/>
                <w:bCs/>
              </w:rPr>
              <w:t>什么原因</w:t>
            </w:r>
          </w:p>
        </w:tc>
        <w:tc>
          <w:tcPr>
            <w:tcW w:w="797" w:type="pct"/>
            <w:tcBorders>
              <w:top w:val="nil"/>
              <w:left w:val="nil"/>
              <w:bottom w:val="single" w:sz="4" w:space="0" w:color="000000"/>
              <w:right w:val="single" w:sz="4" w:space="0" w:color="000000"/>
            </w:tcBorders>
            <w:shd w:val="clear" w:color="auto" w:fill="auto"/>
            <w:vAlign w:val="center"/>
          </w:tcPr>
          <w:p w14:paraId="4EBC488B" w14:textId="77777777" w:rsidR="00F50365" w:rsidRDefault="00000000">
            <w:pPr>
              <w:pStyle w:val="02"/>
              <w:rPr>
                <w:b w:val="0"/>
                <w:bCs/>
              </w:rPr>
            </w:pPr>
            <w:r>
              <w:rPr>
                <w:rFonts w:hint="eastAsia"/>
                <w:b w:val="0"/>
                <w:bCs/>
              </w:rPr>
              <w:t>为什么是这个原因</w:t>
            </w:r>
          </w:p>
        </w:tc>
        <w:tc>
          <w:tcPr>
            <w:tcW w:w="902" w:type="pct"/>
            <w:tcBorders>
              <w:top w:val="nil"/>
              <w:left w:val="nil"/>
              <w:bottom w:val="single" w:sz="4" w:space="0" w:color="000000"/>
              <w:right w:val="single" w:sz="4" w:space="0" w:color="000000"/>
            </w:tcBorders>
            <w:shd w:val="clear" w:color="auto" w:fill="auto"/>
            <w:vAlign w:val="center"/>
          </w:tcPr>
          <w:p w14:paraId="2837E5EC" w14:textId="77777777" w:rsidR="00F50365" w:rsidRDefault="00000000">
            <w:pPr>
              <w:pStyle w:val="02"/>
              <w:rPr>
                <w:b w:val="0"/>
                <w:bCs/>
              </w:rPr>
            </w:pPr>
            <w:r>
              <w:rPr>
                <w:rFonts w:hint="eastAsia"/>
                <w:b w:val="0"/>
                <w:bCs/>
              </w:rPr>
              <w:t>有更合适的理由吗</w:t>
            </w:r>
          </w:p>
        </w:tc>
        <w:tc>
          <w:tcPr>
            <w:tcW w:w="1183" w:type="pct"/>
            <w:tcBorders>
              <w:top w:val="nil"/>
              <w:left w:val="nil"/>
              <w:bottom w:val="single" w:sz="4" w:space="0" w:color="000000"/>
              <w:right w:val="single" w:sz="4" w:space="0" w:color="000000"/>
            </w:tcBorders>
            <w:shd w:val="clear" w:color="auto" w:fill="auto"/>
            <w:vAlign w:val="center"/>
          </w:tcPr>
          <w:p w14:paraId="037C5805" w14:textId="77777777" w:rsidR="00F50365" w:rsidRDefault="00000000">
            <w:pPr>
              <w:pStyle w:val="02"/>
              <w:rPr>
                <w:b w:val="0"/>
                <w:bCs/>
              </w:rPr>
            </w:pPr>
            <w:r>
              <w:rPr>
                <w:rFonts w:hint="eastAsia"/>
                <w:b w:val="0"/>
                <w:bCs/>
              </w:rPr>
              <w:t>为什么是更合适的理由</w:t>
            </w:r>
          </w:p>
        </w:tc>
        <w:tc>
          <w:tcPr>
            <w:tcW w:w="633" w:type="pct"/>
            <w:tcBorders>
              <w:top w:val="nil"/>
              <w:left w:val="nil"/>
              <w:bottom w:val="single" w:sz="4" w:space="0" w:color="000000"/>
              <w:right w:val="single" w:sz="4" w:space="0" w:color="000000"/>
            </w:tcBorders>
            <w:shd w:val="clear" w:color="auto" w:fill="auto"/>
            <w:vAlign w:val="center"/>
          </w:tcPr>
          <w:p w14:paraId="54495DA7" w14:textId="77777777" w:rsidR="00F50365" w:rsidRDefault="00000000">
            <w:pPr>
              <w:pStyle w:val="02"/>
              <w:rPr>
                <w:b w:val="0"/>
                <w:bCs/>
              </w:rPr>
            </w:pPr>
            <w:r>
              <w:rPr>
                <w:rFonts w:hint="eastAsia"/>
                <w:b w:val="0"/>
                <w:bCs/>
              </w:rPr>
              <w:t>定原因、定问题</w:t>
            </w:r>
          </w:p>
        </w:tc>
      </w:tr>
      <w:tr w:rsidR="00F50365" w14:paraId="76127796" w14:textId="77777777">
        <w:trPr>
          <w:trHeight w:val="810"/>
        </w:trPr>
        <w:tc>
          <w:tcPr>
            <w:tcW w:w="685" w:type="pct"/>
            <w:tcBorders>
              <w:top w:val="nil"/>
              <w:left w:val="single" w:sz="4" w:space="0" w:color="000000"/>
              <w:bottom w:val="single" w:sz="4" w:space="0" w:color="000000"/>
              <w:right w:val="single" w:sz="4" w:space="0" w:color="000000"/>
            </w:tcBorders>
            <w:shd w:val="clear" w:color="auto" w:fill="auto"/>
            <w:vAlign w:val="center"/>
          </w:tcPr>
          <w:p w14:paraId="5595E1A9" w14:textId="77777777" w:rsidR="00F50365" w:rsidRDefault="00000000">
            <w:pPr>
              <w:pStyle w:val="02"/>
              <w:rPr>
                <w:b w:val="0"/>
                <w:bCs/>
              </w:rPr>
            </w:pPr>
            <w:r>
              <w:rPr>
                <w:rFonts w:hint="eastAsia"/>
                <w:b w:val="0"/>
                <w:bCs/>
              </w:rPr>
              <w:t>WHAT</w:t>
            </w:r>
          </w:p>
        </w:tc>
        <w:tc>
          <w:tcPr>
            <w:tcW w:w="800" w:type="pct"/>
            <w:tcBorders>
              <w:top w:val="nil"/>
              <w:left w:val="nil"/>
              <w:bottom w:val="single" w:sz="4" w:space="0" w:color="000000"/>
              <w:right w:val="single" w:sz="4" w:space="0" w:color="000000"/>
            </w:tcBorders>
            <w:shd w:val="clear" w:color="auto" w:fill="auto"/>
            <w:vAlign w:val="center"/>
          </w:tcPr>
          <w:p w14:paraId="71FEE729" w14:textId="77777777" w:rsidR="00F50365" w:rsidRDefault="00000000">
            <w:pPr>
              <w:pStyle w:val="02"/>
              <w:rPr>
                <w:b w:val="0"/>
                <w:bCs/>
              </w:rPr>
            </w:pPr>
            <w:r>
              <w:rPr>
                <w:rFonts w:hint="eastAsia"/>
                <w:b w:val="0"/>
                <w:bCs/>
              </w:rPr>
              <w:t>什么事情</w:t>
            </w:r>
          </w:p>
        </w:tc>
        <w:tc>
          <w:tcPr>
            <w:tcW w:w="797" w:type="pct"/>
            <w:tcBorders>
              <w:top w:val="nil"/>
              <w:left w:val="nil"/>
              <w:bottom w:val="single" w:sz="4" w:space="0" w:color="000000"/>
              <w:right w:val="single" w:sz="4" w:space="0" w:color="000000"/>
            </w:tcBorders>
            <w:shd w:val="clear" w:color="auto" w:fill="auto"/>
            <w:vAlign w:val="center"/>
          </w:tcPr>
          <w:p w14:paraId="5AF6F6C5" w14:textId="77777777" w:rsidR="00F50365" w:rsidRDefault="00000000">
            <w:pPr>
              <w:pStyle w:val="02"/>
              <w:rPr>
                <w:b w:val="0"/>
                <w:bCs/>
              </w:rPr>
            </w:pPr>
            <w:r>
              <w:rPr>
                <w:rFonts w:hint="eastAsia"/>
                <w:b w:val="0"/>
                <w:bCs/>
              </w:rPr>
              <w:t>为什么做这个事情</w:t>
            </w:r>
          </w:p>
        </w:tc>
        <w:tc>
          <w:tcPr>
            <w:tcW w:w="902" w:type="pct"/>
            <w:tcBorders>
              <w:top w:val="nil"/>
              <w:left w:val="nil"/>
              <w:bottom w:val="single" w:sz="4" w:space="0" w:color="000000"/>
              <w:right w:val="single" w:sz="4" w:space="0" w:color="000000"/>
            </w:tcBorders>
            <w:shd w:val="clear" w:color="auto" w:fill="auto"/>
            <w:vAlign w:val="center"/>
          </w:tcPr>
          <w:p w14:paraId="4F65CC8A" w14:textId="77777777" w:rsidR="00F50365" w:rsidRDefault="00000000">
            <w:pPr>
              <w:pStyle w:val="02"/>
              <w:rPr>
                <w:b w:val="0"/>
                <w:bCs/>
              </w:rPr>
            </w:pPr>
            <w:r>
              <w:rPr>
                <w:rFonts w:hint="eastAsia"/>
                <w:b w:val="0"/>
                <w:bCs/>
              </w:rPr>
              <w:t>有更合适的事情吗</w:t>
            </w:r>
          </w:p>
        </w:tc>
        <w:tc>
          <w:tcPr>
            <w:tcW w:w="1183" w:type="pct"/>
            <w:tcBorders>
              <w:top w:val="nil"/>
              <w:left w:val="nil"/>
              <w:bottom w:val="single" w:sz="4" w:space="0" w:color="000000"/>
              <w:right w:val="single" w:sz="4" w:space="0" w:color="000000"/>
            </w:tcBorders>
            <w:shd w:val="clear" w:color="auto" w:fill="auto"/>
            <w:vAlign w:val="center"/>
          </w:tcPr>
          <w:p w14:paraId="0F64B655" w14:textId="77777777" w:rsidR="00F50365" w:rsidRDefault="00000000">
            <w:pPr>
              <w:pStyle w:val="02"/>
              <w:rPr>
                <w:b w:val="0"/>
                <w:bCs/>
              </w:rPr>
            </w:pPr>
            <w:r>
              <w:rPr>
                <w:rFonts w:hint="eastAsia"/>
                <w:b w:val="0"/>
                <w:bCs/>
              </w:rPr>
              <w:t>为什么是更合适的事情</w:t>
            </w:r>
          </w:p>
        </w:tc>
        <w:tc>
          <w:tcPr>
            <w:tcW w:w="633" w:type="pct"/>
            <w:tcBorders>
              <w:top w:val="nil"/>
              <w:left w:val="nil"/>
              <w:bottom w:val="single" w:sz="4" w:space="0" w:color="000000"/>
              <w:right w:val="single" w:sz="4" w:space="0" w:color="000000"/>
            </w:tcBorders>
            <w:shd w:val="clear" w:color="auto" w:fill="auto"/>
            <w:vAlign w:val="center"/>
          </w:tcPr>
          <w:p w14:paraId="25B39972" w14:textId="77777777" w:rsidR="00F50365" w:rsidRDefault="00000000">
            <w:pPr>
              <w:pStyle w:val="02"/>
              <w:rPr>
                <w:b w:val="0"/>
                <w:bCs/>
              </w:rPr>
            </w:pPr>
            <w:r>
              <w:rPr>
                <w:rFonts w:hint="eastAsia"/>
                <w:b w:val="0"/>
                <w:bCs/>
              </w:rPr>
              <w:t>定建设内容、需求</w:t>
            </w:r>
          </w:p>
        </w:tc>
      </w:tr>
      <w:tr w:rsidR="00F50365" w14:paraId="73189A87" w14:textId="77777777">
        <w:trPr>
          <w:trHeight w:val="1215"/>
        </w:trPr>
        <w:tc>
          <w:tcPr>
            <w:tcW w:w="685" w:type="pct"/>
            <w:tcBorders>
              <w:top w:val="nil"/>
              <w:left w:val="single" w:sz="4" w:space="0" w:color="000000"/>
              <w:bottom w:val="single" w:sz="4" w:space="0" w:color="000000"/>
              <w:right w:val="single" w:sz="4" w:space="0" w:color="000000"/>
            </w:tcBorders>
            <w:shd w:val="clear" w:color="auto" w:fill="auto"/>
            <w:vAlign w:val="center"/>
          </w:tcPr>
          <w:p w14:paraId="3D82B924" w14:textId="77777777" w:rsidR="00F50365" w:rsidRDefault="00000000">
            <w:pPr>
              <w:pStyle w:val="02"/>
              <w:rPr>
                <w:b w:val="0"/>
                <w:bCs/>
              </w:rPr>
            </w:pPr>
            <w:r>
              <w:rPr>
                <w:rFonts w:hint="eastAsia"/>
                <w:b w:val="0"/>
                <w:bCs/>
              </w:rPr>
              <w:t>HOW</w:t>
            </w:r>
          </w:p>
        </w:tc>
        <w:tc>
          <w:tcPr>
            <w:tcW w:w="800" w:type="pct"/>
            <w:tcBorders>
              <w:top w:val="nil"/>
              <w:left w:val="nil"/>
              <w:bottom w:val="single" w:sz="4" w:space="0" w:color="000000"/>
              <w:right w:val="single" w:sz="4" w:space="0" w:color="000000"/>
            </w:tcBorders>
            <w:shd w:val="clear" w:color="auto" w:fill="auto"/>
            <w:vAlign w:val="center"/>
          </w:tcPr>
          <w:p w14:paraId="5B057976" w14:textId="77777777" w:rsidR="00F50365" w:rsidRDefault="00000000">
            <w:pPr>
              <w:pStyle w:val="02"/>
              <w:rPr>
                <w:b w:val="0"/>
                <w:bCs/>
              </w:rPr>
            </w:pPr>
            <w:r>
              <w:rPr>
                <w:rFonts w:hint="eastAsia"/>
                <w:b w:val="0"/>
                <w:bCs/>
              </w:rPr>
              <w:t>如何去做</w:t>
            </w:r>
          </w:p>
        </w:tc>
        <w:tc>
          <w:tcPr>
            <w:tcW w:w="797" w:type="pct"/>
            <w:tcBorders>
              <w:top w:val="nil"/>
              <w:left w:val="nil"/>
              <w:bottom w:val="single" w:sz="4" w:space="0" w:color="000000"/>
              <w:right w:val="single" w:sz="4" w:space="0" w:color="000000"/>
            </w:tcBorders>
            <w:shd w:val="clear" w:color="auto" w:fill="auto"/>
            <w:vAlign w:val="center"/>
          </w:tcPr>
          <w:p w14:paraId="7C118678" w14:textId="77777777" w:rsidR="00F50365" w:rsidRDefault="00000000">
            <w:pPr>
              <w:pStyle w:val="02"/>
              <w:rPr>
                <w:b w:val="0"/>
                <w:bCs/>
              </w:rPr>
            </w:pPr>
            <w:r>
              <w:rPr>
                <w:rFonts w:hint="eastAsia"/>
                <w:b w:val="0"/>
                <w:bCs/>
              </w:rPr>
              <w:t>为什么采用这个方法</w:t>
            </w:r>
          </w:p>
        </w:tc>
        <w:tc>
          <w:tcPr>
            <w:tcW w:w="902" w:type="pct"/>
            <w:tcBorders>
              <w:top w:val="nil"/>
              <w:left w:val="nil"/>
              <w:bottom w:val="single" w:sz="4" w:space="0" w:color="000000"/>
              <w:right w:val="single" w:sz="4" w:space="0" w:color="000000"/>
            </w:tcBorders>
            <w:shd w:val="clear" w:color="auto" w:fill="auto"/>
            <w:vAlign w:val="center"/>
          </w:tcPr>
          <w:p w14:paraId="4760AB4B" w14:textId="77777777" w:rsidR="00F50365" w:rsidRDefault="00000000">
            <w:pPr>
              <w:pStyle w:val="02"/>
              <w:rPr>
                <w:b w:val="0"/>
                <w:bCs/>
              </w:rPr>
            </w:pPr>
            <w:r>
              <w:rPr>
                <w:rFonts w:hint="eastAsia"/>
                <w:b w:val="0"/>
                <w:bCs/>
              </w:rPr>
              <w:t>有更合适的方法吗</w:t>
            </w:r>
          </w:p>
        </w:tc>
        <w:tc>
          <w:tcPr>
            <w:tcW w:w="1183" w:type="pct"/>
            <w:tcBorders>
              <w:top w:val="nil"/>
              <w:left w:val="nil"/>
              <w:bottom w:val="single" w:sz="4" w:space="0" w:color="000000"/>
              <w:right w:val="single" w:sz="4" w:space="0" w:color="000000"/>
            </w:tcBorders>
            <w:shd w:val="clear" w:color="auto" w:fill="auto"/>
            <w:vAlign w:val="center"/>
          </w:tcPr>
          <w:p w14:paraId="62984645" w14:textId="77777777" w:rsidR="00F50365" w:rsidRDefault="00000000">
            <w:pPr>
              <w:pStyle w:val="02"/>
              <w:rPr>
                <w:b w:val="0"/>
                <w:bCs/>
              </w:rPr>
            </w:pPr>
            <w:r>
              <w:rPr>
                <w:rFonts w:hint="eastAsia"/>
                <w:b w:val="0"/>
                <w:bCs/>
              </w:rPr>
              <w:t>为什么有更合适的方法</w:t>
            </w:r>
          </w:p>
        </w:tc>
        <w:tc>
          <w:tcPr>
            <w:tcW w:w="633" w:type="pct"/>
            <w:tcBorders>
              <w:top w:val="nil"/>
              <w:left w:val="nil"/>
              <w:bottom w:val="single" w:sz="4" w:space="0" w:color="000000"/>
              <w:right w:val="single" w:sz="4" w:space="0" w:color="000000"/>
            </w:tcBorders>
            <w:shd w:val="clear" w:color="auto" w:fill="auto"/>
            <w:vAlign w:val="center"/>
          </w:tcPr>
          <w:p w14:paraId="06CC9FBC" w14:textId="77777777" w:rsidR="00F50365" w:rsidRDefault="00000000">
            <w:pPr>
              <w:pStyle w:val="02"/>
              <w:rPr>
                <w:b w:val="0"/>
                <w:bCs/>
              </w:rPr>
            </w:pPr>
            <w:r>
              <w:rPr>
                <w:rFonts w:hint="eastAsia"/>
                <w:b w:val="0"/>
                <w:bCs/>
              </w:rPr>
              <w:t>定方法、定思路和解决方案</w:t>
            </w:r>
          </w:p>
        </w:tc>
      </w:tr>
      <w:tr w:rsidR="00F50365" w14:paraId="3D74541B" w14:textId="77777777">
        <w:trPr>
          <w:trHeight w:val="810"/>
        </w:trPr>
        <w:tc>
          <w:tcPr>
            <w:tcW w:w="685" w:type="pct"/>
            <w:tcBorders>
              <w:top w:val="nil"/>
              <w:left w:val="single" w:sz="4" w:space="0" w:color="000000"/>
              <w:bottom w:val="single" w:sz="4" w:space="0" w:color="000000"/>
              <w:right w:val="single" w:sz="4" w:space="0" w:color="000000"/>
            </w:tcBorders>
            <w:shd w:val="clear" w:color="auto" w:fill="auto"/>
            <w:vAlign w:val="center"/>
          </w:tcPr>
          <w:p w14:paraId="11ED25D5" w14:textId="77777777" w:rsidR="00F50365" w:rsidRDefault="00000000">
            <w:pPr>
              <w:pStyle w:val="02"/>
              <w:rPr>
                <w:b w:val="0"/>
                <w:bCs/>
              </w:rPr>
            </w:pPr>
            <w:r>
              <w:rPr>
                <w:rFonts w:hint="eastAsia"/>
                <w:b w:val="0"/>
                <w:bCs/>
              </w:rPr>
              <w:t>HOW MUCH</w:t>
            </w:r>
          </w:p>
        </w:tc>
        <w:tc>
          <w:tcPr>
            <w:tcW w:w="800" w:type="pct"/>
            <w:tcBorders>
              <w:top w:val="nil"/>
              <w:left w:val="nil"/>
              <w:bottom w:val="single" w:sz="4" w:space="0" w:color="000000"/>
              <w:right w:val="single" w:sz="4" w:space="0" w:color="000000"/>
            </w:tcBorders>
            <w:shd w:val="clear" w:color="auto" w:fill="auto"/>
            <w:vAlign w:val="center"/>
          </w:tcPr>
          <w:p w14:paraId="51D1085C" w14:textId="77777777" w:rsidR="00F50365" w:rsidRDefault="00000000">
            <w:pPr>
              <w:pStyle w:val="02"/>
              <w:rPr>
                <w:b w:val="0"/>
                <w:bCs/>
              </w:rPr>
            </w:pPr>
            <w:r>
              <w:rPr>
                <w:rFonts w:hint="eastAsia"/>
                <w:b w:val="0"/>
                <w:bCs/>
              </w:rPr>
              <w:t>花费多少</w:t>
            </w:r>
          </w:p>
        </w:tc>
        <w:tc>
          <w:tcPr>
            <w:tcW w:w="797" w:type="pct"/>
            <w:tcBorders>
              <w:top w:val="nil"/>
              <w:left w:val="nil"/>
              <w:bottom w:val="single" w:sz="4" w:space="0" w:color="000000"/>
              <w:right w:val="single" w:sz="4" w:space="0" w:color="000000"/>
            </w:tcBorders>
            <w:shd w:val="clear" w:color="auto" w:fill="auto"/>
            <w:vAlign w:val="center"/>
          </w:tcPr>
          <w:p w14:paraId="5B3AA329" w14:textId="77777777" w:rsidR="00F50365" w:rsidRDefault="00000000">
            <w:pPr>
              <w:pStyle w:val="02"/>
              <w:rPr>
                <w:b w:val="0"/>
                <w:bCs/>
              </w:rPr>
            </w:pPr>
            <w:r>
              <w:rPr>
                <w:rFonts w:hint="eastAsia"/>
                <w:b w:val="0"/>
                <w:bCs/>
              </w:rPr>
              <w:t>为什么要这些花费</w:t>
            </w:r>
          </w:p>
        </w:tc>
        <w:tc>
          <w:tcPr>
            <w:tcW w:w="902" w:type="pct"/>
            <w:tcBorders>
              <w:top w:val="nil"/>
              <w:left w:val="nil"/>
              <w:bottom w:val="single" w:sz="4" w:space="0" w:color="000000"/>
              <w:right w:val="single" w:sz="4" w:space="0" w:color="000000"/>
            </w:tcBorders>
            <w:shd w:val="clear" w:color="auto" w:fill="auto"/>
            <w:vAlign w:val="center"/>
          </w:tcPr>
          <w:p w14:paraId="739251C1" w14:textId="77777777" w:rsidR="00F50365" w:rsidRDefault="00000000">
            <w:pPr>
              <w:pStyle w:val="02"/>
              <w:rPr>
                <w:b w:val="0"/>
                <w:bCs/>
              </w:rPr>
            </w:pPr>
            <w:r>
              <w:rPr>
                <w:rFonts w:hint="eastAsia"/>
                <w:b w:val="0"/>
                <w:bCs/>
              </w:rPr>
              <w:t>有更合理的花费吗</w:t>
            </w:r>
          </w:p>
        </w:tc>
        <w:tc>
          <w:tcPr>
            <w:tcW w:w="1183" w:type="pct"/>
            <w:tcBorders>
              <w:top w:val="nil"/>
              <w:left w:val="nil"/>
              <w:bottom w:val="single" w:sz="4" w:space="0" w:color="000000"/>
              <w:right w:val="single" w:sz="4" w:space="0" w:color="000000"/>
            </w:tcBorders>
            <w:shd w:val="clear" w:color="auto" w:fill="auto"/>
            <w:vAlign w:val="center"/>
          </w:tcPr>
          <w:p w14:paraId="4F574E9A" w14:textId="77777777" w:rsidR="00F50365" w:rsidRDefault="00000000">
            <w:pPr>
              <w:pStyle w:val="02"/>
              <w:rPr>
                <w:b w:val="0"/>
                <w:bCs/>
              </w:rPr>
            </w:pPr>
            <w:r>
              <w:rPr>
                <w:rFonts w:hint="eastAsia"/>
                <w:b w:val="0"/>
                <w:bCs/>
              </w:rPr>
              <w:t>为什么是更合理的花费</w:t>
            </w:r>
          </w:p>
        </w:tc>
        <w:tc>
          <w:tcPr>
            <w:tcW w:w="633" w:type="pct"/>
            <w:tcBorders>
              <w:top w:val="nil"/>
              <w:left w:val="nil"/>
              <w:bottom w:val="single" w:sz="4" w:space="0" w:color="000000"/>
              <w:right w:val="single" w:sz="4" w:space="0" w:color="000000"/>
            </w:tcBorders>
            <w:shd w:val="clear" w:color="auto" w:fill="auto"/>
            <w:vAlign w:val="center"/>
          </w:tcPr>
          <w:p w14:paraId="636F3C97" w14:textId="77777777" w:rsidR="00F50365" w:rsidRDefault="00000000">
            <w:pPr>
              <w:pStyle w:val="02"/>
              <w:rPr>
                <w:b w:val="0"/>
                <w:bCs/>
              </w:rPr>
            </w:pPr>
            <w:r>
              <w:rPr>
                <w:rFonts w:hint="eastAsia"/>
                <w:b w:val="0"/>
                <w:bCs/>
              </w:rPr>
              <w:t>定投资概算</w:t>
            </w:r>
          </w:p>
        </w:tc>
      </w:tr>
    </w:tbl>
    <w:p w14:paraId="32CB7530" w14:textId="77777777" w:rsidR="00F50365" w:rsidRDefault="00000000">
      <w:pPr>
        <w:pStyle w:val="1"/>
        <w:rPr>
          <w:rFonts w:ascii="宋体" w:eastAsia="宋体"/>
          <w:sz w:val="24"/>
          <w:szCs w:val="24"/>
        </w:rPr>
      </w:pPr>
      <w:bookmarkStart w:id="16" w:name="_Toc6988849"/>
      <w:bookmarkStart w:id="17" w:name="_Toc181013073"/>
      <w:r>
        <w:rPr>
          <w:rFonts w:ascii="宋体" w:eastAsia="宋体" w:hint="eastAsia"/>
          <w:sz w:val="24"/>
          <w:szCs w:val="24"/>
        </w:rPr>
        <w:lastRenderedPageBreak/>
        <w:t>咨询设计服务</w:t>
      </w:r>
      <w:r>
        <w:rPr>
          <w:rFonts w:ascii="宋体" w:eastAsia="宋体"/>
          <w:sz w:val="24"/>
          <w:szCs w:val="24"/>
        </w:rPr>
        <w:t>工作</w:t>
      </w:r>
      <w:bookmarkEnd w:id="16"/>
      <w:r>
        <w:rPr>
          <w:rFonts w:ascii="宋体" w:eastAsia="宋体" w:hint="eastAsia"/>
          <w:sz w:val="24"/>
          <w:szCs w:val="24"/>
        </w:rPr>
        <w:t>流程</w:t>
      </w:r>
      <w:bookmarkEnd w:id="17"/>
    </w:p>
    <w:p w14:paraId="425B830F" w14:textId="77777777" w:rsidR="00F50365" w:rsidRDefault="00000000">
      <w:pPr>
        <w:pStyle w:val="2"/>
        <w:rPr>
          <w:rFonts w:ascii="宋体" w:eastAsia="宋体"/>
          <w:sz w:val="24"/>
          <w:szCs w:val="24"/>
        </w:rPr>
      </w:pPr>
      <w:bookmarkStart w:id="18" w:name="_Toc6988850"/>
      <w:bookmarkStart w:id="19" w:name="_Toc181013074"/>
      <w:bookmarkStart w:id="20" w:name="_Toc372805298"/>
      <w:bookmarkStart w:id="21" w:name="_Toc380671994"/>
      <w:r>
        <w:rPr>
          <w:rFonts w:ascii="宋体" w:eastAsia="宋体" w:hint="eastAsia"/>
          <w:sz w:val="24"/>
          <w:szCs w:val="24"/>
        </w:rPr>
        <w:t>需求受理阶段</w:t>
      </w:r>
      <w:bookmarkEnd w:id="18"/>
      <w:bookmarkEnd w:id="19"/>
    </w:p>
    <w:p w14:paraId="4BBFC15F" w14:textId="77777777" w:rsidR="00F50365" w:rsidRDefault="00000000">
      <w:pPr>
        <w:ind w:firstLineChars="175" w:firstLine="420"/>
        <w:rPr>
          <w:rFonts w:ascii="宋体"/>
          <w:sz w:val="24"/>
        </w:rPr>
      </w:pPr>
      <w:r>
        <w:rPr>
          <w:rFonts w:ascii="宋体" w:hint="eastAsia"/>
          <w:sz w:val="24"/>
        </w:rPr>
        <w:t>1）业务部门或者各医疗机构向白山市卫生健康委员会提交项目需求计划</w:t>
      </w:r>
    </w:p>
    <w:p w14:paraId="166A3B12" w14:textId="77777777" w:rsidR="00F50365" w:rsidRDefault="00000000">
      <w:pPr>
        <w:ind w:firstLineChars="175" w:firstLine="420"/>
        <w:rPr>
          <w:rFonts w:ascii="宋体"/>
          <w:sz w:val="24"/>
        </w:rPr>
      </w:pPr>
      <w:r>
        <w:rPr>
          <w:rFonts w:ascii="宋体" w:hint="eastAsia"/>
          <w:sz w:val="24"/>
        </w:rPr>
        <w:t>2）白山市卫生健康委员会受理业务部门和医疗机构提交的项目计划申请</w:t>
      </w:r>
    </w:p>
    <w:p w14:paraId="0468E80D" w14:textId="77777777" w:rsidR="00F50365" w:rsidRDefault="00000000">
      <w:pPr>
        <w:ind w:firstLineChars="175" w:firstLine="420"/>
        <w:rPr>
          <w:rFonts w:ascii="宋体"/>
          <w:sz w:val="24"/>
        </w:rPr>
      </w:pPr>
      <w:r>
        <w:rPr>
          <w:rFonts w:ascii="宋体" w:hint="eastAsia"/>
          <w:sz w:val="24"/>
        </w:rPr>
        <w:t>3）根据政府采购流程，确定专业咨询设计机构。</w:t>
      </w:r>
    </w:p>
    <w:p w14:paraId="479AEB47" w14:textId="77777777" w:rsidR="00F50365" w:rsidRDefault="00000000">
      <w:pPr>
        <w:ind w:firstLineChars="175" w:firstLine="422"/>
        <w:rPr>
          <w:rFonts w:ascii="宋体"/>
          <w:b/>
          <w:sz w:val="24"/>
        </w:rPr>
      </w:pPr>
      <w:r>
        <w:rPr>
          <w:rFonts w:ascii="宋体" w:hint="eastAsia"/>
          <w:b/>
          <w:sz w:val="24"/>
        </w:rPr>
        <w:t>相关产出物：《项目计划书》</w:t>
      </w:r>
    </w:p>
    <w:p w14:paraId="1D40D13F" w14:textId="77777777" w:rsidR="00F50365" w:rsidRDefault="00000000">
      <w:pPr>
        <w:pStyle w:val="2"/>
        <w:rPr>
          <w:rFonts w:ascii="宋体" w:eastAsia="宋体"/>
          <w:sz w:val="24"/>
          <w:szCs w:val="24"/>
        </w:rPr>
      </w:pPr>
      <w:bookmarkStart w:id="22" w:name="_Toc6988851"/>
      <w:bookmarkStart w:id="23" w:name="_Toc181013075"/>
      <w:r>
        <w:rPr>
          <w:rFonts w:ascii="宋体" w:eastAsia="宋体" w:hint="eastAsia"/>
          <w:sz w:val="24"/>
          <w:szCs w:val="24"/>
        </w:rPr>
        <w:t>需求调研阶段</w:t>
      </w:r>
      <w:bookmarkEnd w:id="22"/>
      <w:bookmarkEnd w:id="23"/>
    </w:p>
    <w:p w14:paraId="5AA8182E" w14:textId="77777777" w:rsidR="00F50365" w:rsidRDefault="00000000">
      <w:pPr>
        <w:ind w:firstLineChars="175" w:firstLine="420"/>
        <w:rPr>
          <w:rFonts w:ascii="宋体"/>
          <w:sz w:val="24"/>
        </w:rPr>
      </w:pPr>
      <w:r>
        <w:rPr>
          <w:rFonts w:ascii="宋体" w:hint="eastAsia"/>
          <w:sz w:val="24"/>
        </w:rPr>
        <w:t>咨询设计单位：开始项目团队的组建、组织开展项目工作方案和调研计划的编制，并提交业务部门，依照共同确定的调研计划，开展需求调研；</w:t>
      </w:r>
    </w:p>
    <w:p w14:paraId="7DB482AF" w14:textId="77777777" w:rsidR="00F50365" w:rsidRDefault="00000000">
      <w:pPr>
        <w:ind w:firstLineChars="175" w:firstLine="420"/>
        <w:rPr>
          <w:rFonts w:ascii="宋体"/>
          <w:sz w:val="24"/>
        </w:rPr>
      </w:pPr>
      <w:r>
        <w:rPr>
          <w:rFonts w:ascii="宋体" w:hint="eastAsia"/>
          <w:sz w:val="24"/>
        </w:rPr>
        <w:t>白山市卫生健康委员会：提供已有的项目资源，按照调研计划组织相关资源配合咨询设计单位进行调研；协调相关资源配合指导调研。</w:t>
      </w:r>
    </w:p>
    <w:p w14:paraId="11067BF2" w14:textId="77777777" w:rsidR="00F50365" w:rsidRDefault="00000000">
      <w:pPr>
        <w:ind w:firstLineChars="175" w:firstLine="422"/>
        <w:rPr>
          <w:rFonts w:ascii="宋体"/>
          <w:b/>
          <w:sz w:val="24"/>
        </w:rPr>
      </w:pPr>
      <w:r>
        <w:rPr>
          <w:rFonts w:ascii="宋体" w:hint="eastAsia"/>
          <w:b/>
          <w:sz w:val="24"/>
        </w:rPr>
        <w:t>相关产出物：《资料收集清单》、《咨询设计服务工作方案》、《项目调研计划》</w:t>
      </w:r>
    </w:p>
    <w:p w14:paraId="40CDBCDE" w14:textId="77777777" w:rsidR="00F50365" w:rsidRDefault="00000000">
      <w:pPr>
        <w:pStyle w:val="2"/>
        <w:rPr>
          <w:rFonts w:ascii="宋体" w:eastAsia="宋体"/>
          <w:sz w:val="24"/>
          <w:szCs w:val="24"/>
        </w:rPr>
      </w:pPr>
      <w:bookmarkStart w:id="24" w:name="_Toc6988852"/>
      <w:bookmarkStart w:id="25" w:name="_Toc181013076"/>
      <w:r>
        <w:rPr>
          <w:rFonts w:ascii="宋体" w:eastAsia="宋体" w:hint="eastAsia"/>
          <w:sz w:val="24"/>
          <w:szCs w:val="24"/>
        </w:rPr>
        <w:t>需求编制阶段</w:t>
      </w:r>
      <w:bookmarkEnd w:id="24"/>
      <w:bookmarkEnd w:id="25"/>
    </w:p>
    <w:p w14:paraId="2FD37534" w14:textId="77777777" w:rsidR="00F50365" w:rsidRDefault="00000000">
      <w:pPr>
        <w:ind w:firstLineChars="175" w:firstLine="420"/>
        <w:rPr>
          <w:rFonts w:ascii="宋体"/>
          <w:sz w:val="24"/>
        </w:rPr>
      </w:pPr>
      <w:r>
        <w:rPr>
          <w:rFonts w:ascii="宋体" w:hint="eastAsia"/>
          <w:sz w:val="24"/>
        </w:rPr>
        <w:t>咨询设计单位：按照调研计划进行调研，完成需求分析报告的编制后，提交至业务部门；</w:t>
      </w:r>
    </w:p>
    <w:p w14:paraId="5E441C96" w14:textId="77777777" w:rsidR="00F50365" w:rsidRDefault="00000000">
      <w:pPr>
        <w:ind w:firstLineChars="175" w:firstLine="420"/>
        <w:rPr>
          <w:rFonts w:ascii="宋体"/>
          <w:sz w:val="24"/>
        </w:rPr>
      </w:pPr>
      <w:r>
        <w:rPr>
          <w:rFonts w:ascii="宋体" w:hint="eastAsia"/>
          <w:sz w:val="24"/>
        </w:rPr>
        <w:t>白山市卫生健康委员会：协调相关资源对咨询设计单位提交的需求报告进行审核，提出修改意见；对调研工作相关资源进行协调并提供指导意见。</w:t>
      </w:r>
    </w:p>
    <w:p w14:paraId="76099861" w14:textId="77777777" w:rsidR="00F50365" w:rsidRDefault="00000000">
      <w:pPr>
        <w:ind w:firstLineChars="175" w:firstLine="422"/>
        <w:rPr>
          <w:rFonts w:ascii="宋体"/>
          <w:b/>
          <w:sz w:val="24"/>
        </w:rPr>
      </w:pPr>
      <w:r>
        <w:rPr>
          <w:rFonts w:ascii="宋体" w:hint="eastAsia"/>
          <w:b/>
          <w:sz w:val="24"/>
        </w:rPr>
        <w:t>相关产出物：《项目现状及需求分析报告》</w:t>
      </w:r>
    </w:p>
    <w:p w14:paraId="6927C509" w14:textId="77777777" w:rsidR="00F50365" w:rsidRDefault="00000000">
      <w:pPr>
        <w:pStyle w:val="2"/>
        <w:rPr>
          <w:rFonts w:ascii="宋体" w:eastAsia="宋体"/>
          <w:sz w:val="24"/>
          <w:szCs w:val="24"/>
        </w:rPr>
      </w:pPr>
      <w:bookmarkStart w:id="26" w:name="_Toc6988853"/>
      <w:bookmarkStart w:id="27" w:name="_Toc181013077"/>
      <w:r>
        <w:rPr>
          <w:rFonts w:ascii="宋体" w:eastAsia="宋体" w:hint="eastAsia"/>
          <w:sz w:val="24"/>
          <w:szCs w:val="24"/>
        </w:rPr>
        <w:t>需求确认阶段</w:t>
      </w:r>
      <w:bookmarkEnd w:id="26"/>
      <w:bookmarkEnd w:id="27"/>
    </w:p>
    <w:p w14:paraId="35BED797" w14:textId="77777777" w:rsidR="00F50365" w:rsidRDefault="00000000">
      <w:pPr>
        <w:ind w:firstLineChars="175" w:firstLine="420"/>
        <w:rPr>
          <w:rFonts w:ascii="宋体"/>
          <w:sz w:val="24"/>
        </w:rPr>
      </w:pPr>
      <w:r>
        <w:rPr>
          <w:rFonts w:ascii="宋体" w:hint="eastAsia"/>
          <w:sz w:val="24"/>
        </w:rPr>
        <w:t>白山市卫生健康委员会：对需求报告进行书面确认，有必要可召开专家咨询会，对需求报告开展行业、专家等咨询；协调资源并提供指导意见。</w:t>
      </w:r>
    </w:p>
    <w:p w14:paraId="75619637" w14:textId="77777777" w:rsidR="00F50365" w:rsidRDefault="00000000">
      <w:pPr>
        <w:ind w:firstLineChars="175" w:firstLine="422"/>
        <w:rPr>
          <w:rFonts w:ascii="宋体"/>
          <w:b/>
          <w:sz w:val="24"/>
        </w:rPr>
      </w:pPr>
      <w:r>
        <w:rPr>
          <w:rFonts w:ascii="宋体" w:hint="eastAsia"/>
          <w:b/>
          <w:sz w:val="24"/>
        </w:rPr>
        <w:t>相关产出物：《项目需求确认书》</w:t>
      </w:r>
    </w:p>
    <w:p w14:paraId="3BCCBE6E" w14:textId="77777777" w:rsidR="00F50365" w:rsidRDefault="00000000">
      <w:pPr>
        <w:pStyle w:val="2"/>
        <w:rPr>
          <w:rFonts w:ascii="宋体" w:eastAsia="宋体"/>
          <w:sz w:val="24"/>
          <w:szCs w:val="24"/>
        </w:rPr>
      </w:pPr>
      <w:bookmarkStart w:id="28" w:name="_Toc6988854"/>
      <w:bookmarkStart w:id="29" w:name="_Toc181013078"/>
      <w:r>
        <w:rPr>
          <w:rFonts w:ascii="宋体" w:eastAsia="宋体" w:hint="eastAsia"/>
          <w:sz w:val="24"/>
          <w:szCs w:val="24"/>
        </w:rPr>
        <w:lastRenderedPageBreak/>
        <w:t>咨询设计成果物编制阶段</w:t>
      </w:r>
      <w:bookmarkEnd w:id="28"/>
      <w:bookmarkEnd w:id="29"/>
    </w:p>
    <w:p w14:paraId="38B264F1" w14:textId="77777777" w:rsidR="00F50365" w:rsidRDefault="00000000">
      <w:pPr>
        <w:ind w:firstLineChars="175" w:firstLine="420"/>
        <w:rPr>
          <w:rFonts w:ascii="宋体"/>
          <w:sz w:val="24"/>
        </w:rPr>
      </w:pPr>
      <w:r>
        <w:rPr>
          <w:rFonts w:ascii="宋体" w:hint="eastAsia"/>
          <w:sz w:val="24"/>
        </w:rPr>
        <w:t>咨询设计单位：根据确认后的需求开始方案的编制，并提交至业务部门；</w:t>
      </w:r>
    </w:p>
    <w:p w14:paraId="2ED7495E" w14:textId="77777777" w:rsidR="00F50365" w:rsidRDefault="00000000">
      <w:pPr>
        <w:ind w:firstLineChars="175" w:firstLine="420"/>
        <w:rPr>
          <w:rFonts w:ascii="宋体"/>
          <w:sz w:val="24"/>
        </w:rPr>
      </w:pPr>
      <w:r>
        <w:rPr>
          <w:rFonts w:ascii="宋体" w:hint="eastAsia"/>
          <w:sz w:val="24"/>
        </w:rPr>
        <w:t>白山市卫生健康委员会：协调相关资源对咨询设计单位提交的方案进行审核、征求相关意见、对方案进行确认；协调资源并提出指导意见。</w:t>
      </w:r>
    </w:p>
    <w:p w14:paraId="1426707F" w14:textId="77777777" w:rsidR="00F50365" w:rsidRDefault="00000000">
      <w:pPr>
        <w:ind w:firstLineChars="175" w:firstLine="422"/>
        <w:rPr>
          <w:rFonts w:ascii="宋体"/>
          <w:b/>
          <w:sz w:val="24"/>
        </w:rPr>
      </w:pPr>
      <w:r>
        <w:rPr>
          <w:rFonts w:ascii="宋体" w:hint="eastAsia"/>
          <w:b/>
          <w:sz w:val="24"/>
        </w:rPr>
        <w:t>白山市卫生健康委员会对方案确定后，提交专家评审。</w:t>
      </w:r>
    </w:p>
    <w:p w14:paraId="21B66758" w14:textId="77777777" w:rsidR="00F50365" w:rsidRDefault="00000000">
      <w:pPr>
        <w:ind w:firstLineChars="175" w:firstLine="422"/>
        <w:rPr>
          <w:rFonts w:ascii="宋体"/>
          <w:sz w:val="24"/>
        </w:rPr>
      </w:pPr>
      <w:r>
        <w:rPr>
          <w:rFonts w:ascii="宋体" w:hint="eastAsia"/>
          <w:b/>
          <w:sz w:val="24"/>
        </w:rPr>
        <w:t>相关产出物：《项目建议书》、《项目可行性研究报告》、《项目初步设计方案》、《概算》。</w:t>
      </w:r>
    </w:p>
    <w:p w14:paraId="6DA75F13" w14:textId="77777777" w:rsidR="00F50365" w:rsidRDefault="00000000">
      <w:pPr>
        <w:pStyle w:val="2"/>
        <w:rPr>
          <w:rFonts w:ascii="宋体" w:eastAsia="宋体"/>
          <w:sz w:val="24"/>
          <w:szCs w:val="24"/>
        </w:rPr>
      </w:pPr>
      <w:bookmarkStart w:id="30" w:name="_Toc6988855"/>
      <w:bookmarkStart w:id="31" w:name="_Toc181013079"/>
      <w:r>
        <w:rPr>
          <w:rFonts w:ascii="宋体" w:eastAsia="宋体" w:hint="eastAsia"/>
          <w:sz w:val="24"/>
          <w:szCs w:val="24"/>
        </w:rPr>
        <w:t>专家评审阶段</w:t>
      </w:r>
      <w:bookmarkEnd w:id="30"/>
      <w:bookmarkEnd w:id="31"/>
    </w:p>
    <w:p w14:paraId="48F76060" w14:textId="77777777" w:rsidR="00F50365" w:rsidRDefault="00000000">
      <w:pPr>
        <w:ind w:firstLineChars="175" w:firstLine="420"/>
        <w:rPr>
          <w:rFonts w:ascii="宋体"/>
          <w:sz w:val="24"/>
        </w:rPr>
      </w:pPr>
      <w:r>
        <w:rPr>
          <w:rFonts w:ascii="宋体" w:hint="eastAsia"/>
          <w:sz w:val="24"/>
        </w:rPr>
        <w:t>评审</w:t>
      </w:r>
      <w:r>
        <w:rPr>
          <w:rFonts w:ascii="宋体"/>
          <w:sz w:val="24"/>
        </w:rPr>
        <w:t>单位：</w:t>
      </w:r>
      <w:r>
        <w:rPr>
          <w:rFonts w:ascii="宋体" w:hint="eastAsia"/>
          <w:sz w:val="24"/>
        </w:rPr>
        <w:t>组织资源对方案进行评审。</w:t>
      </w:r>
    </w:p>
    <w:p w14:paraId="5539221C" w14:textId="77777777" w:rsidR="00F50365" w:rsidRDefault="00000000">
      <w:pPr>
        <w:ind w:firstLineChars="175" w:firstLine="420"/>
        <w:rPr>
          <w:rFonts w:ascii="宋体"/>
          <w:sz w:val="24"/>
        </w:rPr>
      </w:pPr>
      <w:r>
        <w:rPr>
          <w:rFonts w:ascii="宋体" w:hint="eastAsia"/>
          <w:sz w:val="24"/>
        </w:rPr>
        <w:t>咨询设计单位：参加专家评审会，根据照专家意见进行响应，并对方案进行修订后，将《意见响应表》和修订的方案提交业务部门及白山市卫生健康委员会；</w:t>
      </w:r>
    </w:p>
    <w:p w14:paraId="0BDE60D8" w14:textId="77777777" w:rsidR="00F50365" w:rsidRDefault="00000000">
      <w:pPr>
        <w:ind w:firstLineChars="175" w:firstLine="420"/>
        <w:rPr>
          <w:rFonts w:ascii="宋体"/>
          <w:sz w:val="24"/>
        </w:rPr>
      </w:pPr>
      <w:r>
        <w:rPr>
          <w:rFonts w:ascii="宋体" w:hint="eastAsia"/>
          <w:sz w:val="24"/>
        </w:rPr>
        <w:t>白山市卫生健康委员会：参加专家评审会，并对专家意见进行回复。</w:t>
      </w:r>
    </w:p>
    <w:p w14:paraId="6D35FBAF" w14:textId="77777777" w:rsidR="00F50365" w:rsidRDefault="00000000">
      <w:pPr>
        <w:ind w:firstLineChars="175" w:firstLine="422"/>
        <w:rPr>
          <w:rFonts w:ascii="宋体"/>
          <w:sz w:val="24"/>
        </w:rPr>
      </w:pPr>
      <w:r>
        <w:rPr>
          <w:rFonts w:ascii="宋体" w:hint="eastAsia"/>
          <w:b/>
          <w:sz w:val="24"/>
        </w:rPr>
        <w:t>相关产出物：《项目汇报PPT》、《项目成果物评审意见修改稿》、《专家意见修改说明》。</w:t>
      </w:r>
    </w:p>
    <w:p w14:paraId="4B0551C6" w14:textId="77777777" w:rsidR="00F50365" w:rsidRDefault="00000000">
      <w:pPr>
        <w:pStyle w:val="2"/>
        <w:rPr>
          <w:rFonts w:ascii="宋体" w:eastAsia="宋体"/>
          <w:sz w:val="24"/>
          <w:szCs w:val="24"/>
        </w:rPr>
      </w:pPr>
      <w:bookmarkStart w:id="32" w:name="_Toc6988856"/>
      <w:bookmarkStart w:id="33" w:name="_Toc181013080"/>
      <w:r>
        <w:rPr>
          <w:rFonts w:ascii="宋体" w:eastAsia="宋体" w:hint="eastAsia"/>
          <w:sz w:val="24"/>
          <w:szCs w:val="24"/>
        </w:rPr>
        <w:t>方案确认</w:t>
      </w:r>
      <w:bookmarkEnd w:id="32"/>
      <w:bookmarkEnd w:id="33"/>
    </w:p>
    <w:p w14:paraId="261EF3AB" w14:textId="77777777" w:rsidR="00F50365" w:rsidRDefault="00000000">
      <w:pPr>
        <w:ind w:firstLineChars="175" w:firstLine="420"/>
        <w:rPr>
          <w:rFonts w:ascii="宋体"/>
          <w:sz w:val="24"/>
        </w:rPr>
      </w:pPr>
      <w:r>
        <w:rPr>
          <w:rFonts w:ascii="宋体" w:hint="eastAsia"/>
          <w:sz w:val="24"/>
        </w:rPr>
        <w:t>白山市卫生健康委员会和业务部门对咨询设计单位提交的方案和意见响应表进行确认。</w:t>
      </w:r>
    </w:p>
    <w:p w14:paraId="0C76BFB1" w14:textId="77777777" w:rsidR="00F50365" w:rsidRDefault="00000000">
      <w:pPr>
        <w:ind w:firstLineChars="175" w:firstLine="420"/>
        <w:rPr>
          <w:rFonts w:ascii="宋体"/>
          <w:sz w:val="24"/>
        </w:rPr>
      </w:pPr>
      <w:r>
        <w:rPr>
          <w:rFonts w:ascii="宋体" w:hint="eastAsia"/>
          <w:sz w:val="24"/>
        </w:rPr>
        <w:t>咨询设计单位协助项目立项工作及相关材料的准备。</w:t>
      </w:r>
    </w:p>
    <w:p w14:paraId="42A4913D" w14:textId="77777777" w:rsidR="00F50365" w:rsidRDefault="00000000">
      <w:pPr>
        <w:ind w:firstLineChars="175" w:firstLine="422"/>
        <w:rPr>
          <w:rFonts w:ascii="宋体"/>
          <w:sz w:val="24"/>
        </w:rPr>
      </w:pPr>
      <w:r>
        <w:rPr>
          <w:rFonts w:ascii="宋体" w:hint="eastAsia"/>
          <w:b/>
          <w:sz w:val="24"/>
        </w:rPr>
        <w:t>相关产出物：《项目建议书》、《项目可行性研究报告》、《项目初步设计方案》、《概算》、其他材料。</w:t>
      </w:r>
    </w:p>
    <w:bookmarkEnd w:id="20"/>
    <w:bookmarkEnd w:id="21"/>
    <w:p w14:paraId="3E64A3E2" w14:textId="77777777" w:rsidR="00F50365" w:rsidRDefault="00F50365">
      <w:pPr>
        <w:ind w:firstLine="420"/>
      </w:pPr>
    </w:p>
    <w:p w14:paraId="35EFDCF5" w14:textId="77777777" w:rsidR="00F50365" w:rsidRDefault="00000000">
      <w:pPr>
        <w:pStyle w:val="1"/>
      </w:pPr>
      <w:bookmarkStart w:id="34" w:name="_Toc181013081"/>
      <w:bookmarkStart w:id="35" w:name="_Toc319566719"/>
      <w:bookmarkStart w:id="36" w:name="_Toc319767081"/>
      <w:bookmarkStart w:id="37" w:name="_Toc464478631"/>
      <w:r>
        <w:rPr>
          <w:rFonts w:hint="eastAsia"/>
        </w:rPr>
        <w:lastRenderedPageBreak/>
        <w:t>咨询设计成果标准</w:t>
      </w:r>
      <w:bookmarkEnd w:id="34"/>
    </w:p>
    <w:p w14:paraId="4DFC8443" w14:textId="77777777" w:rsidR="00F50365" w:rsidRDefault="00000000">
      <w:pPr>
        <w:pStyle w:val="0"/>
        <w:ind w:firstLine="420"/>
      </w:pPr>
      <w:r>
        <w:rPr>
          <w:rFonts w:hint="eastAsia"/>
        </w:rPr>
        <w:t>为了保证本次项目顺利完成相关主管部门的立项、审核、备案等合规工作，咨询设计成果包括但不仅限于如下成果交付物：</w:t>
      </w:r>
    </w:p>
    <w:p w14:paraId="6B6ACF56" w14:textId="77777777" w:rsidR="00F50365" w:rsidRDefault="00000000">
      <w:pPr>
        <w:pStyle w:val="0"/>
        <w:numPr>
          <w:ilvl w:val="0"/>
          <w:numId w:val="2"/>
        </w:numPr>
        <w:ind w:firstLineChars="0"/>
      </w:pPr>
      <w:r>
        <w:rPr>
          <w:rFonts w:hint="eastAsia"/>
        </w:rPr>
        <w:t>《白山市公立医院改革与高质量发展信息化建设项目调研问卷》</w:t>
      </w:r>
    </w:p>
    <w:p w14:paraId="7BA0FDA4" w14:textId="77777777" w:rsidR="00F50365" w:rsidRDefault="00000000">
      <w:pPr>
        <w:pStyle w:val="0"/>
        <w:numPr>
          <w:ilvl w:val="0"/>
          <w:numId w:val="2"/>
        </w:numPr>
        <w:ind w:firstLineChars="0"/>
      </w:pPr>
      <w:r>
        <w:rPr>
          <w:rFonts w:hint="eastAsia"/>
        </w:rPr>
        <w:t>《白山市公立医院改革与高质量发展信息化建设项目现状及需求分析报告》</w:t>
      </w:r>
    </w:p>
    <w:p w14:paraId="6A2F6FE4" w14:textId="77777777" w:rsidR="00F50365" w:rsidRDefault="00000000">
      <w:pPr>
        <w:pStyle w:val="0"/>
        <w:numPr>
          <w:ilvl w:val="0"/>
          <w:numId w:val="2"/>
        </w:numPr>
        <w:ind w:firstLineChars="0"/>
      </w:pPr>
      <w:r>
        <w:rPr>
          <w:rFonts w:hint="eastAsia"/>
        </w:rPr>
        <w:t>《白山市公立医院改革与高质量发展信息化建设项目建议书（含匡算）》</w:t>
      </w:r>
    </w:p>
    <w:p w14:paraId="38E46CA6" w14:textId="77777777" w:rsidR="00F50365" w:rsidRDefault="00000000">
      <w:pPr>
        <w:pStyle w:val="0"/>
        <w:numPr>
          <w:ilvl w:val="0"/>
          <w:numId w:val="2"/>
        </w:numPr>
        <w:ind w:firstLineChars="0"/>
      </w:pPr>
      <w:r>
        <w:rPr>
          <w:rFonts w:hint="eastAsia"/>
        </w:rPr>
        <w:t>《白山市公立医院改革与高质量发展信息化建设项目可行性研究报告（含预算）》</w:t>
      </w:r>
    </w:p>
    <w:p w14:paraId="2E28E895" w14:textId="77777777" w:rsidR="00F50365" w:rsidRDefault="00000000">
      <w:pPr>
        <w:pStyle w:val="0"/>
        <w:numPr>
          <w:ilvl w:val="0"/>
          <w:numId w:val="2"/>
        </w:numPr>
        <w:ind w:firstLineChars="0"/>
      </w:pPr>
      <w:r>
        <w:rPr>
          <w:rFonts w:hint="eastAsia"/>
        </w:rPr>
        <w:t>《白山市公立医院改革与高质量发展信息化建设项目初步设计方案（含概算）》</w:t>
      </w:r>
    </w:p>
    <w:p w14:paraId="726F7285" w14:textId="77777777" w:rsidR="00F50365" w:rsidRDefault="00000000">
      <w:pPr>
        <w:pStyle w:val="0"/>
        <w:numPr>
          <w:ilvl w:val="0"/>
          <w:numId w:val="2"/>
        </w:numPr>
        <w:ind w:firstLineChars="0"/>
      </w:pPr>
      <w:r>
        <w:rPr>
          <w:rFonts w:hint="eastAsia"/>
        </w:rPr>
        <w:t>《白山市公立医院改革与高质量发展信息化建设项目招标技术需求书》</w:t>
      </w:r>
    </w:p>
    <w:bookmarkEnd w:id="35"/>
    <w:bookmarkEnd w:id="36"/>
    <w:bookmarkEnd w:id="37"/>
    <w:p w14:paraId="388942B7" w14:textId="77777777" w:rsidR="00F50365" w:rsidRDefault="00F50365">
      <w:pPr>
        <w:pStyle w:val="a6"/>
        <w:ind w:firstLine="420"/>
        <w:rPr>
          <w:rStyle w:val="NormalCharacter"/>
          <w:szCs w:val="24"/>
        </w:rPr>
      </w:pPr>
    </w:p>
    <w:p w14:paraId="04D13DA0" w14:textId="77777777" w:rsidR="00F50365" w:rsidRDefault="00000000">
      <w:pPr>
        <w:pStyle w:val="1"/>
        <w:rPr>
          <w:snapToGrid w:val="0"/>
        </w:rPr>
      </w:pPr>
      <w:r>
        <w:rPr>
          <w:rFonts w:hint="eastAsia"/>
          <w:snapToGrid w:val="0"/>
        </w:rPr>
        <w:lastRenderedPageBreak/>
        <w:t>商务要求</w:t>
      </w:r>
      <w:bookmarkEnd w:id="8"/>
      <w:bookmarkEnd w:id="9"/>
    </w:p>
    <w:p w14:paraId="6A35E01D" w14:textId="77777777" w:rsidR="00F50365" w:rsidRDefault="00000000">
      <w:pPr>
        <w:ind w:firstLine="420"/>
        <w:rPr>
          <w:rFonts w:ascii="宋体"/>
          <w:bCs/>
          <w:szCs w:val="21"/>
        </w:rPr>
      </w:pPr>
      <w:r>
        <w:rPr>
          <w:rFonts w:ascii="宋体" w:hint="eastAsia"/>
          <w:bCs/>
          <w:szCs w:val="21"/>
        </w:rPr>
        <w:t xml:space="preserve">1、服务期：45天之内提供成果文件，并配合采购人办理与设计成果相关的报审工作，达到规划部门报审要求。 </w:t>
      </w:r>
    </w:p>
    <w:p w14:paraId="2FE3B332" w14:textId="77777777" w:rsidR="00F50365" w:rsidRDefault="00000000">
      <w:pPr>
        <w:ind w:firstLine="420"/>
        <w:rPr>
          <w:rFonts w:ascii="宋体"/>
          <w:bCs/>
          <w:szCs w:val="21"/>
        </w:rPr>
      </w:pPr>
      <w:r>
        <w:rPr>
          <w:rFonts w:ascii="宋体" w:hint="eastAsia"/>
          <w:bCs/>
          <w:szCs w:val="21"/>
        </w:rPr>
        <w:t>2、服务地点：白山市卫生健康委员会指定地方。</w:t>
      </w:r>
    </w:p>
    <w:p w14:paraId="4D5E45E7" w14:textId="77777777" w:rsidR="00F50365" w:rsidRDefault="00000000">
      <w:pPr>
        <w:ind w:firstLine="420"/>
        <w:rPr>
          <w:rFonts w:ascii="宋体"/>
          <w:bCs/>
          <w:szCs w:val="21"/>
        </w:rPr>
      </w:pPr>
      <w:r>
        <w:rPr>
          <w:rFonts w:ascii="宋体" w:hint="eastAsia"/>
          <w:bCs/>
          <w:szCs w:val="21"/>
        </w:rPr>
        <w:t>3、支付方式：按采购人财务要求</w:t>
      </w:r>
      <w:r>
        <w:rPr>
          <w:rFonts w:ascii="宋体"/>
          <w:bCs/>
          <w:szCs w:val="21"/>
        </w:rPr>
        <w:t>，</w:t>
      </w:r>
      <w:r>
        <w:rPr>
          <w:rFonts w:ascii="宋体" w:hint="eastAsia"/>
          <w:bCs/>
          <w:szCs w:val="21"/>
        </w:rPr>
        <w:t>由成交供应商与采购人在签订合同时具体商议。</w:t>
      </w:r>
    </w:p>
    <w:p w14:paraId="34AC865C" w14:textId="77777777" w:rsidR="00F50365" w:rsidRDefault="00000000">
      <w:pPr>
        <w:pStyle w:val="1"/>
      </w:pPr>
      <w:r>
        <w:rPr>
          <w:rFonts w:hint="eastAsia"/>
        </w:rPr>
        <w:lastRenderedPageBreak/>
        <w:t>报价要求</w:t>
      </w:r>
    </w:p>
    <w:p w14:paraId="59AB5049" w14:textId="77777777" w:rsidR="00F50365" w:rsidRDefault="00000000">
      <w:pPr>
        <w:ind w:firstLine="420"/>
        <w:rPr>
          <w:rFonts w:ascii="宋体"/>
          <w:bCs/>
          <w:szCs w:val="21"/>
        </w:rPr>
      </w:pPr>
      <w:r>
        <w:rPr>
          <w:rFonts w:ascii="宋体" w:hint="eastAsia"/>
          <w:bCs/>
          <w:szCs w:val="21"/>
        </w:rPr>
        <w:t>1、供应商报价应包含本项目设计工作所需的一切费用，对在合同实施过程中可能发生的其它费用（如：包括但不限于人员工资、设备材料周转及耗损、管理、办公、通信、交通、与相关单位配合、利润、保险、培训、税费、风险及有关的其它费用等）采购人概不负责。</w:t>
      </w:r>
    </w:p>
    <w:p w14:paraId="1C33EAB2" w14:textId="77777777" w:rsidR="00F50365" w:rsidRDefault="00000000">
      <w:pPr>
        <w:ind w:firstLine="420"/>
        <w:rPr>
          <w:rFonts w:ascii="宋体"/>
          <w:bCs/>
          <w:szCs w:val="21"/>
        </w:rPr>
      </w:pPr>
      <w:r>
        <w:rPr>
          <w:rFonts w:ascii="宋体" w:hint="eastAsia"/>
          <w:bCs/>
          <w:szCs w:val="21"/>
        </w:rPr>
        <w:t>2、对于本采购文件未列明，而供应商认为必需的费用也需列入响应总报价。在合同实施时，采购人将不予支付成交供应商没有列入的项目费用，并有理由认为此项目的费用已包括在响应总报价中。</w:t>
      </w:r>
    </w:p>
    <w:p w14:paraId="0EBF70E7" w14:textId="77777777" w:rsidR="00F50365" w:rsidRDefault="00000000">
      <w:pPr>
        <w:ind w:firstLine="420"/>
        <w:rPr>
          <w:rFonts w:ascii="宋体"/>
          <w:bCs/>
          <w:szCs w:val="21"/>
        </w:rPr>
      </w:pPr>
      <w:r>
        <w:rPr>
          <w:rFonts w:ascii="宋体" w:hint="eastAsia"/>
          <w:bCs/>
          <w:szCs w:val="21"/>
        </w:rPr>
        <w:t>3、供应商在设计工作实施过程中应以采购人的要求为准，并理解和执行采购人对工作量调整的安排，且费用不予增加。</w:t>
      </w:r>
    </w:p>
    <w:sectPr w:rsidR="00F5036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5D6D6" w14:textId="77777777" w:rsidR="000C21DD" w:rsidRDefault="000C21DD">
      <w:pPr>
        <w:spacing w:line="240" w:lineRule="auto"/>
        <w:ind w:firstLine="420"/>
      </w:pPr>
      <w:r>
        <w:separator/>
      </w:r>
    </w:p>
  </w:endnote>
  <w:endnote w:type="continuationSeparator" w:id="0">
    <w:p w14:paraId="701F39FC" w14:textId="77777777" w:rsidR="000C21DD" w:rsidRDefault="000C21D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6FE8" w14:textId="77777777" w:rsidR="00927EE7" w:rsidRDefault="00927EE7">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4A274" w14:textId="77777777" w:rsidR="00927EE7" w:rsidRDefault="00927EE7">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644C9" w14:textId="77777777" w:rsidR="00927EE7" w:rsidRDefault="00927EE7">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6AC26" w14:textId="77777777" w:rsidR="000C21DD" w:rsidRDefault="000C21DD">
      <w:pPr>
        <w:spacing w:line="240" w:lineRule="auto"/>
        <w:ind w:firstLine="420"/>
      </w:pPr>
      <w:r>
        <w:separator/>
      </w:r>
    </w:p>
  </w:footnote>
  <w:footnote w:type="continuationSeparator" w:id="0">
    <w:p w14:paraId="050B39E8" w14:textId="77777777" w:rsidR="000C21DD" w:rsidRDefault="000C21DD">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C9E7" w14:textId="77777777" w:rsidR="00927EE7" w:rsidRDefault="00927EE7">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5EE8" w14:textId="77777777" w:rsidR="00F50365" w:rsidRDefault="00F50365">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1395B" w14:textId="77777777" w:rsidR="00927EE7" w:rsidRDefault="00927EE7">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95986"/>
    <w:multiLevelType w:val="hybridMultilevel"/>
    <w:tmpl w:val="77B4B8A8"/>
    <w:lvl w:ilvl="0" w:tplc="D700A6C4">
      <w:start w:val="1"/>
      <w:numFmt w:val="bullet"/>
      <w:lvlRestart w:val="0"/>
      <w:lvlText w:val=""/>
      <w:lvlJc w:val="left"/>
      <w:pPr>
        <w:tabs>
          <w:tab w:val="num" w:pos="0"/>
        </w:tabs>
        <w:ind w:left="920" w:hanging="440"/>
      </w:pPr>
      <w:rPr>
        <w:rFonts w:ascii="Wingdings" w:hAnsi="Wingdings" w:hint="default"/>
      </w:rPr>
    </w:lvl>
    <w:lvl w:ilvl="1" w:tplc="37540F4C">
      <w:start w:val="1"/>
      <w:numFmt w:val="bullet"/>
      <w:lvlText w:val=""/>
      <w:lvlJc w:val="left"/>
      <w:pPr>
        <w:tabs>
          <w:tab w:val="num" w:pos="0"/>
        </w:tabs>
        <w:ind w:left="1360" w:hanging="440"/>
      </w:pPr>
      <w:rPr>
        <w:rFonts w:ascii="Wingdings" w:hAnsi="Wingdings" w:hint="default"/>
      </w:rPr>
    </w:lvl>
    <w:lvl w:ilvl="2" w:tplc="19D084F0">
      <w:start w:val="1"/>
      <w:numFmt w:val="bullet"/>
      <w:lvlText w:val=""/>
      <w:lvlJc w:val="left"/>
      <w:pPr>
        <w:tabs>
          <w:tab w:val="num" w:pos="0"/>
        </w:tabs>
        <w:ind w:left="1800" w:hanging="440"/>
      </w:pPr>
      <w:rPr>
        <w:rFonts w:ascii="Wingdings" w:hAnsi="Wingdings" w:hint="default"/>
      </w:rPr>
    </w:lvl>
    <w:lvl w:ilvl="3" w:tplc="5E7AC850">
      <w:start w:val="1"/>
      <w:numFmt w:val="bullet"/>
      <w:lvlText w:val=""/>
      <w:lvlJc w:val="left"/>
      <w:pPr>
        <w:tabs>
          <w:tab w:val="num" w:pos="0"/>
        </w:tabs>
        <w:ind w:left="2240" w:hanging="440"/>
      </w:pPr>
      <w:rPr>
        <w:rFonts w:ascii="Wingdings" w:hAnsi="Wingdings" w:hint="default"/>
      </w:rPr>
    </w:lvl>
    <w:lvl w:ilvl="4" w:tplc="52D8B0E4">
      <w:start w:val="1"/>
      <w:numFmt w:val="bullet"/>
      <w:lvlText w:val=""/>
      <w:lvlJc w:val="left"/>
      <w:pPr>
        <w:tabs>
          <w:tab w:val="num" w:pos="0"/>
        </w:tabs>
        <w:ind w:left="2680" w:hanging="440"/>
      </w:pPr>
      <w:rPr>
        <w:rFonts w:ascii="Wingdings" w:hAnsi="Wingdings" w:hint="default"/>
      </w:rPr>
    </w:lvl>
    <w:lvl w:ilvl="5" w:tplc="899A40F0">
      <w:start w:val="1"/>
      <w:numFmt w:val="bullet"/>
      <w:lvlText w:val=""/>
      <w:lvlJc w:val="left"/>
      <w:pPr>
        <w:tabs>
          <w:tab w:val="num" w:pos="0"/>
        </w:tabs>
        <w:ind w:left="3120" w:hanging="440"/>
      </w:pPr>
      <w:rPr>
        <w:rFonts w:ascii="Wingdings" w:hAnsi="Wingdings" w:hint="default"/>
      </w:rPr>
    </w:lvl>
    <w:lvl w:ilvl="6" w:tplc="89B6727E">
      <w:start w:val="1"/>
      <w:numFmt w:val="bullet"/>
      <w:lvlText w:val=""/>
      <w:lvlJc w:val="left"/>
      <w:pPr>
        <w:tabs>
          <w:tab w:val="num" w:pos="0"/>
        </w:tabs>
        <w:ind w:left="3560" w:hanging="440"/>
      </w:pPr>
      <w:rPr>
        <w:rFonts w:ascii="Wingdings" w:hAnsi="Wingdings" w:hint="default"/>
      </w:rPr>
    </w:lvl>
    <w:lvl w:ilvl="7" w:tplc="E82A1C8A">
      <w:start w:val="1"/>
      <w:numFmt w:val="bullet"/>
      <w:lvlText w:val=""/>
      <w:lvlJc w:val="left"/>
      <w:pPr>
        <w:tabs>
          <w:tab w:val="num" w:pos="0"/>
        </w:tabs>
        <w:ind w:left="4000" w:hanging="440"/>
      </w:pPr>
      <w:rPr>
        <w:rFonts w:ascii="Wingdings" w:hAnsi="Wingdings" w:hint="default"/>
      </w:rPr>
    </w:lvl>
    <w:lvl w:ilvl="8" w:tplc="5FA22894">
      <w:start w:val="1"/>
      <w:numFmt w:val="bullet"/>
      <w:lvlText w:val=""/>
      <w:lvlJc w:val="left"/>
      <w:pPr>
        <w:tabs>
          <w:tab w:val="num" w:pos="0"/>
        </w:tabs>
        <w:ind w:left="4440" w:hanging="440"/>
      </w:pPr>
      <w:rPr>
        <w:rFonts w:ascii="Wingdings" w:hAnsi="Wingdings" w:hint="default"/>
      </w:rPr>
    </w:lvl>
  </w:abstractNum>
  <w:abstractNum w:abstractNumId="1" w15:restartNumberingAfterBreak="0">
    <w:nsid w:val="60183E52"/>
    <w:multiLevelType w:val="hybridMultilevel"/>
    <w:tmpl w:val="311EDB48"/>
    <w:lvl w:ilvl="0" w:tplc="ABF0C926">
      <w:start w:val="1"/>
      <w:numFmt w:val="bullet"/>
      <w:lvlRestart w:val="0"/>
      <w:lvlText w:val=""/>
      <w:lvlJc w:val="left"/>
      <w:pPr>
        <w:tabs>
          <w:tab w:val="num" w:pos="0"/>
        </w:tabs>
        <w:ind w:left="900" w:hanging="420"/>
      </w:pPr>
      <w:rPr>
        <w:rFonts w:ascii="Wingdings" w:hAnsi="Wingdings" w:hint="default"/>
      </w:rPr>
    </w:lvl>
    <w:lvl w:ilvl="1" w:tplc="6E52A0CC">
      <w:start w:val="1"/>
      <w:numFmt w:val="bullet"/>
      <w:lvlText w:val=""/>
      <w:lvlJc w:val="left"/>
      <w:pPr>
        <w:tabs>
          <w:tab w:val="num" w:pos="0"/>
        </w:tabs>
        <w:ind w:left="1320" w:hanging="420"/>
      </w:pPr>
      <w:rPr>
        <w:rFonts w:ascii="Wingdings" w:hAnsi="Wingdings" w:hint="default"/>
      </w:rPr>
    </w:lvl>
    <w:lvl w:ilvl="2" w:tplc="2E0A888E">
      <w:start w:val="1"/>
      <w:numFmt w:val="bullet"/>
      <w:lvlText w:val=""/>
      <w:lvlJc w:val="left"/>
      <w:pPr>
        <w:tabs>
          <w:tab w:val="num" w:pos="0"/>
        </w:tabs>
        <w:ind w:left="1740" w:hanging="420"/>
      </w:pPr>
      <w:rPr>
        <w:rFonts w:ascii="Wingdings" w:hAnsi="Wingdings" w:hint="default"/>
      </w:rPr>
    </w:lvl>
    <w:lvl w:ilvl="3" w:tplc="3D66DD50">
      <w:start w:val="1"/>
      <w:numFmt w:val="bullet"/>
      <w:lvlText w:val=""/>
      <w:lvlJc w:val="left"/>
      <w:pPr>
        <w:tabs>
          <w:tab w:val="num" w:pos="0"/>
        </w:tabs>
        <w:ind w:left="2160" w:hanging="420"/>
      </w:pPr>
      <w:rPr>
        <w:rFonts w:ascii="Wingdings" w:hAnsi="Wingdings" w:hint="default"/>
      </w:rPr>
    </w:lvl>
    <w:lvl w:ilvl="4" w:tplc="F280B0B0">
      <w:start w:val="1"/>
      <w:numFmt w:val="bullet"/>
      <w:lvlText w:val=""/>
      <w:lvlJc w:val="left"/>
      <w:pPr>
        <w:tabs>
          <w:tab w:val="num" w:pos="0"/>
        </w:tabs>
        <w:ind w:left="2580" w:hanging="420"/>
      </w:pPr>
      <w:rPr>
        <w:rFonts w:ascii="Wingdings" w:hAnsi="Wingdings" w:hint="default"/>
      </w:rPr>
    </w:lvl>
    <w:lvl w:ilvl="5" w:tplc="EFF67516">
      <w:start w:val="1"/>
      <w:numFmt w:val="bullet"/>
      <w:lvlText w:val=""/>
      <w:lvlJc w:val="left"/>
      <w:pPr>
        <w:tabs>
          <w:tab w:val="num" w:pos="0"/>
        </w:tabs>
        <w:ind w:left="3000" w:hanging="420"/>
      </w:pPr>
      <w:rPr>
        <w:rFonts w:ascii="Wingdings" w:hAnsi="Wingdings" w:hint="default"/>
      </w:rPr>
    </w:lvl>
    <w:lvl w:ilvl="6" w:tplc="6B6ED206">
      <w:start w:val="1"/>
      <w:numFmt w:val="bullet"/>
      <w:lvlText w:val=""/>
      <w:lvlJc w:val="left"/>
      <w:pPr>
        <w:tabs>
          <w:tab w:val="num" w:pos="0"/>
        </w:tabs>
        <w:ind w:left="3420" w:hanging="420"/>
      </w:pPr>
      <w:rPr>
        <w:rFonts w:ascii="Wingdings" w:hAnsi="Wingdings" w:hint="default"/>
      </w:rPr>
    </w:lvl>
    <w:lvl w:ilvl="7" w:tplc="B1C44CD6">
      <w:start w:val="1"/>
      <w:numFmt w:val="bullet"/>
      <w:lvlText w:val=""/>
      <w:lvlJc w:val="left"/>
      <w:pPr>
        <w:tabs>
          <w:tab w:val="num" w:pos="0"/>
        </w:tabs>
        <w:ind w:left="3840" w:hanging="420"/>
      </w:pPr>
      <w:rPr>
        <w:rFonts w:ascii="Wingdings" w:hAnsi="Wingdings" w:hint="default"/>
      </w:rPr>
    </w:lvl>
    <w:lvl w:ilvl="8" w:tplc="28DCCA34">
      <w:start w:val="1"/>
      <w:numFmt w:val="bullet"/>
      <w:lvlText w:val=""/>
      <w:lvlJc w:val="left"/>
      <w:pPr>
        <w:tabs>
          <w:tab w:val="num" w:pos="0"/>
        </w:tabs>
        <w:ind w:left="4260" w:hanging="420"/>
      </w:pPr>
      <w:rPr>
        <w:rFonts w:ascii="Wingdings" w:hAnsi="Wingdings" w:hint="default"/>
      </w:rPr>
    </w:lvl>
  </w:abstractNum>
  <w:abstractNum w:abstractNumId="2" w15:restartNumberingAfterBreak="0">
    <w:nsid w:val="67353757"/>
    <w:multiLevelType w:val="multilevel"/>
    <w:tmpl w:val="CC824AFE"/>
    <w:lvl w:ilvl="0">
      <w:start w:val="1"/>
      <w:numFmt w:val="chineseCountingThousand"/>
      <w:lvlRestart w:val="0"/>
      <w:pStyle w:val="1"/>
      <w:suff w:val="space"/>
      <w:lvlText w:val="第%1章"/>
      <w:lvlJc w:val="left"/>
      <w:pPr>
        <w:tabs>
          <w:tab w:val="num" w:pos="0"/>
        </w:tabs>
        <w:ind w:left="432" w:hanging="432"/>
      </w:pPr>
      <w:rPr>
        <w:rFonts w:hint="eastAsia"/>
      </w:rPr>
    </w:lvl>
    <w:lvl w:ilvl="1">
      <w:start w:val="1"/>
      <w:numFmt w:val="decimal"/>
      <w:pStyle w:val="2"/>
      <w:isLgl/>
      <w:suff w:val="space"/>
      <w:lvlText w:val="%1.%2"/>
      <w:lvlJc w:val="left"/>
      <w:pPr>
        <w:tabs>
          <w:tab w:val="num" w:pos="0"/>
        </w:tabs>
        <w:ind w:left="576" w:hanging="576"/>
      </w:pPr>
      <w:rPr>
        <w:rFonts w:hint="eastAsia"/>
      </w:rPr>
    </w:lvl>
    <w:lvl w:ilvl="2">
      <w:start w:val="1"/>
      <w:numFmt w:val="decimal"/>
      <w:pStyle w:val="3"/>
      <w:isLgl/>
      <w:suff w:val="space"/>
      <w:lvlText w:val="%1.%2.%3"/>
      <w:lvlJc w:val="left"/>
      <w:pPr>
        <w:tabs>
          <w:tab w:val="num" w:pos="0"/>
        </w:tabs>
        <w:ind w:left="737" w:hanging="737"/>
      </w:pPr>
      <w:rPr>
        <w:rFonts w:ascii="Arial" w:eastAsia="黑体" w:hAnsi="Arial" w:hint="default"/>
        <w:b/>
        <w:i w:val="0"/>
      </w:rPr>
    </w:lvl>
    <w:lvl w:ilvl="3">
      <w:start w:val="1"/>
      <w:numFmt w:val="decimal"/>
      <w:pStyle w:val="4"/>
      <w:isLgl/>
      <w:suff w:val="space"/>
      <w:lvlText w:val="%1.%2.%3.%4"/>
      <w:lvlJc w:val="left"/>
      <w:pPr>
        <w:tabs>
          <w:tab w:val="num" w:pos="0"/>
        </w:tabs>
        <w:ind w:left="864" w:hanging="864"/>
      </w:pPr>
      <w:rPr>
        <w:rFonts w:hint="eastAsia"/>
      </w:rPr>
    </w:lvl>
    <w:lvl w:ilvl="4">
      <w:start w:val="1"/>
      <w:numFmt w:val="decimal"/>
      <w:pStyle w:val="5"/>
      <w:isLgl/>
      <w:suff w:val="space"/>
      <w:lvlText w:val="%1.%2.%3.%4.%5"/>
      <w:lvlJc w:val="left"/>
      <w:pPr>
        <w:tabs>
          <w:tab w:val="num" w:pos="0"/>
        </w:tabs>
        <w:ind w:left="1008" w:hanging="1008"/>
      </w:pPr>
      <w:rPr>
        <w:rFonts w:ascii="Arial" w:hAnsi="Arial" w:cs="Times New Roman" w:hint="default"/>
        <w:b/>
        <w:bCs w:val="0"/>
        <w:i w:val="0"/>
        <w:iCs w:val="0"/>
        <w:caps w:val="0"/>
        <w:smallCaps w:val="0"/>
        <w:strike w:val="0"/>
        <w:dstrike w:val="0"/>
        <w:vanish w:val="0"/>
        <w:color w:val="000000"/>
        <w:spacing w:val="0"/>
        <w:position w:val="0"/>
        <w:u w:val="none"/>
        <w:vertAlign w:val="baseline"/>
      </w:rPr>
    </w:lvl>
    <w:lvl w:ilvl="5">
      <w:start w:val="1"/>
      <w:numFmt w:val="decimal"/>
      <w:pStyle w:val="6"/>
      <w:isLgl/>
      <w:suff w:val="space"/>
      <w:lvlText w:val="%1.%2.%3.%4.%5.%6"/>
      <w:lvlJc w:val="left"/>
      <w:pPr>
        <w:tabs>
          <w:tab w:val="num" w:pos="0"/>
        </w:tabs>
        <w:ind w:left="1152" w:hanging="1152"/>
      </w:pPr>
      <w:rPr>
        <w:rFonts w:hint="eastAsia"/>
      </w:rPr>
    </w:lvl>
    <w:lvl w:ilvl="6">
      <w:start w:val="1"/>
      <w:numFmt w:val="decimal"/>
      <w:pStyle w:val="7"/>
      <w:isLgl/>
      <w:suff w:val="space"/>
      <w:lvlText w:val="%1.%2.%3.%4.%5.%6.%7"/>
      <w:lvlJc w:val="left"/>
      <w:pPr>
        <w:tabs>
          <w:tab w:val="num" w:pos="0"/>
        </w:tabs>
        <w:ind w:left="1296" w:hanging="1296"/>
      </w:pPr>
      <w:rPr>
        <w:rFonts w:hint="eastAsia"/>
      </w:rPr>
    </w:lvl>
    <w:lvl w:ilvl="7">
      <w:start w:val="1"/>
      <w:numFmt w:val="decimal"/>
      <w:pStyle w:val="8"/>
      <w:isLgl/>
      <w:suff w:val="space"/>
      <w:lvlText w:val="%1.%2.%3.%4.%5.%6.%7.%8"/>
      <w:lvlJc w:val="left"/>
      <w:pPr>
        <w:tabs>
          <w:tab w:val="num" w:pos="0"/>
        </w:tabs>
        <w:ind w:left="1440" w:hanging="1440"/>
      </w:pPr>
      <w:rPr>
        <w:rFonts w:hint="eastAsia"/>
      </w:rPr>
    </w:lvl>
    <w:lvl w:ilvl="8">
      <w:start w:val="1"/>
      <w:numFmt w:val="decimal"/>
      <w:pStyle w:val="9"/>
      <w:isLgl/>
      <w:suff w:val="space"/>
      <w:lvlText w:val="%1.%2.%3.%4.%5.%6.%7.%8.%9"/>
      <w:lvlJc w:val="left"/>
      <w:pPr>
        <w:tabs>
          <w:tab w:val="num" w:pos="0"/>
        </w:tabs>
        <w:ind w:left="1584" w:hanging="1584"/>
      </w:pPr>
      <w:rPr>
        <w:rFonts w:hint="eastAsia"/>
      </w:rPr>
    </w:lvl>
  </w:abstractNum>
  <w:num w:numId="1" w16cid:durableId="1430808803">
    <w:abstractNumId w:val="1"/>
  </w:num>
  <w:num w:numId="2" w16cid:durableId="1255482412">
    <w:abstractNumId w:val="0"/>
  </w:num>
  <w:num w:numId="3" w16cid:durableId="1881167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Setting w:name="useWord2013TrackBottomHyphenation" w:uri="http://schemas.microsoft.com/office/word" w:val="1"/>
  </w:compat>
  <w:rsids>
    <w:rsidRoot w:val="00F50365"/>
    <w:rsid w:val="000147CE"/>
    <w:rsid w:val="000C21DD"/>
    <w:rsid w:val="005B2851"/>
    <w:rsid w:val="00927EE7"/>
    <w:rsid w:val="00D90472"/>
    <w:rsid w:val="00F15E23"/>
    <w:rsid w:val="00F5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EF89E"/>
  <w15:docId w15:val="{7D70278A-6B5A-477F-862A-C88CAB27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kern w:val="2"/>
      <w:sz w:val="21"/>
      <w:szCs w:val="24"/>
    </w:rPr>
  </w:style>
  <w:style w:type="paragraph" w:styleId="1">
    <w:name w:val="heading 1"/>
    <w:basedOn w:val="a"/>
    <w:next w:val="a"/>
    <w:uiPriority w:val="9"/>
    <w:qFormat/>
    <w:pPr>
      <w:keepNext/>
      <w:keepLines/>
      <w:pageBreakBefore/>
      <w:widowControl/>
      <w:numPr>
        <w:numId w:val="3"/>
      </w:numPr>
      <w:spacing w:before="480" w:after="360"/>
      <w:ind w:firstLineChars="0" w:firstLine="0"/>
      <w:jc w:val="center"/>
      <w:outlineLvl w:val="0"/>
    </w:pPr>
    <w:rPr>
      <w:rFonts w:ascii="Calibri" w:eastAsia="黑体" w:hAnsi="Calibri"/>
      <w:b/>
      <w:bCs/>
      <w:kern w:val="44"/>
      <w:sz w:val="32"/>
      <w:szCs w:val="44"/>
      <w:lang w:val="zh-CN"/>
    </w:rPr>
  </w:style>
  <w:style w:type="paragraph" w:styleId="2">
    <w:name w:val="heading 2"/>
    <w:basedOn w:val="a"/>
    <w:next w:val="a"/>
    <w:uiPriority w:val="9"/>
    <w:unhideWhenUsed/>
    <w:qFormat/>
    <w:pPr>
      <w:keepNext/>
      <w:keepLines/>
      <w:widowControl/>
      <w:numPr>
        <w:ilvl w:val="1"/>
        <w:numId w:val="3"/>
      </w:numPr>
      <w:spacing w:before="480" w:after="120"/>
      <w:ind w:firstLineChars="0" w:firstLine="0"/>
      <w:jc w:val="left"/>
      <w:outlineLvl w:val="1"/>
    </w:pPr>
    <w:rPr>
      <w:rFonts w:ascii="Arial" w:eastAsia="黑体" w:hAnsi="Arial"/>
      <w:b/>
      <w:bCs/>
      <w:kern w:val="0"/>
      <w:sz w:val="28"/>
      <w:szCs w:val="32"/>
      <w:lang w:val="zh-CN"/>
    </w:rPr>
  </w:style>
  <w:style w:type="paragraph" w:styleId="3">
    <w:name w:val="heading 3"/>
    <w:basedOn w:val="a"/>
    <w:next w:val="a"/>
    <w:uiPriority w:val="9"/>
    <w:unhideWhenUsed/>
    <w:qFormat/>
    <w:pPr>
      <w:keepNext/>
      <w:keepLines/>
      <w:widowControl/>
      <w:numPr>
        <w:ilvl w:val="2"/>
        <w:numId w:val="3"/>
      </w:numPr>
      <w:tabs>
        <w:tab w:val="left" w:pos="709"/>
      </w:tabs>
      <w:spacing w:before="240" w:after="120"/>
      <w:ind w:firstLineChars="0" w:firstLine="0"/>
      <w:jc w:val="left"/>
      <w:outlineLvl w:val="2"/>
    </w:pPr>
    <w:rPr>
      <w:rFonts w:ascii="Arial" w:eastAsia="黑体" w:hAnsi="Arial"/>
      <w:b/>
      <w:bCs/>
      <w:sz w:val="26"/>
      <w:szCs w:val="32"/>
      <w:lang w:val="zh-CN"/>
    </w:rPr>
  </w:style>
  <w:style w:type="paragraph" w:styleId="4">
    <w:name w:val="heading 4"/>
    <w:basedOn w:val="a"/>
    <w:next w:val="a"/>
    <w:uiPriority w:val="9"/>
    <w:semiHidden/>
    <w:unhideWhenUsed/>
    <w:qFormat/>
    <w:pPr>
      <w:keepNext/>
      <w:keepLines/>
      <w:widowControl/>
      <w:numPr>
        <w:ilvl w:val="3"/>
        <w:numId w:val="3"/>
      </w:numPr>
      <w:spacing w:before="240" w:after="120"/>
      <w:ind w:firstLineChars="0" w:firstLine="0"/>
      <w:jc w:val="left"/>
      <w:outlineLvl w:val="3"/>
    </w:pPr>
    <w:rPr>
      <w:rFonts w:ascii="Arial" w:eastAsia="黑体" w:hAnsi="Arial"/>
      <w:b/>
      <w:bCs/>
      <w:sz w:val="24"/>
      <w:szCs w:val="28"/>
      <w:lang w:val="zh-CN"/>
    </w:rPr>
  </w:style>
  <w:style w:type="paragraph" w:styleId="5">
    <w:name w:val="heading 5"/>
    <w:basedOn w:val="a"/>
    <w:next w:val="a"/>
    <w:uiPriority w:val="9"/>
    <w:semiHidden/>
    <w:unhideWhenUsed/>
    <w:qFormat/>
    <w:pPr>
      <w:keepNext/>
      <w:keepLines/>
      <w:widowControl/>
      <w:numPr>
        <w:ilvl w:val="4"/>
        <w:numId w:val="3"/>
      </w:numPr>
      <w:tabs>
        <w:tab w:val="left" w:pos="1008"/>
      </w:tabs>
      <w:spacing w:before="280" w:line="377" w:lineRule="auto"/>
      <w:ind w:firstLineChars="0" w:firstLine="0"/>
      <w:jc w:val="left"/>
      <w:outlineLvl w:val="4"/>
    </w:pPr>
    <w:rPr>
      <w:rFonts w:ascii="Calibri" w:eastAsia="黑体" w:hAnsi="Calibri"/>
      <w:b/>
      <w:bCs/>
      <w:kern w:val="0"/>
      <w:sz w:val="24"/>
      <w:szCs w:val="28"/>
      <w:lang w:val="zh-CN"/>
    </w:rPr>
  </w:style>
  <w:style w:type="paragraph" w:styleId="6">
    <w:name w:val="heading 6"/>
    <w:basedOn w:val="a"/>
    <w:next w:val="0"/>
    <w:uiPriority w:val="9"/>
    <w:semiHidden/>
    <w:unhideWhenUsed/>
    <w:qFormat/>
    <w:pPr>
      <w:keepNext/>
      <w:keepLines/>
      <w:numPr>
        <w:ilvl w:val="5"/>
        <w:numId w:val="3"/>
      </w:numPr>
      <w:spacing w:before="240" w:after="64" w:line="319" w:lineRule="auto"/>
      <w:ind w:firstLineChars="0" w:firstLine="0"/>
      <w:outlineLvl w:val="5"/>
    </w:pPr>
    <w:rPr>
      <w:rFonts w:ascii="Arial" w:eastAsia="黑体" w:hAnsi="Arial"/>
      <w:b/>
      <w:bCs/>
      <w:sz w:val="24"/>
    </w:rPr>
  </w:style>
  <w:style w:type="paragraph" w:styleId="7">
    <w:name w:val="heading 7"/>
    <w:basedOn w:val="a"/>
    <w:next w:val="0"/>
    <w:pPr>
      <w:keepNext/>
      <w:keepLines/>
      <w:numPr>
        <w:ilvl w:val="6"/>
        <w:numId w:val="3"/>
      </w:numPr>
      <w:spacing w:before="240" w:after="64" w:line="319" w:lineRule="auto"/>
      <w:ind w:firstLineChars="0" w:firstLine="0"/>
      <w:outlineLvl w:val="6"/>
    </w:pPr>
    <w:rPr>
      <w:rFonts w:ascii="Arial" w:eastAsia="黑体" w:hAnsi="Arial" w:cs="Arial"/>
      <w:b/>
      <w:bCs/>
      <w:sz w:val="24"/>
    </w:rPr>
  </w:style>
  <w:style w:type="paragraph" w:styleId="8">
    <w:name w:val="heading 8"/>
    <w:basedOn w:val="a"/>
    <w:next w:val="0"/>
    <w:pPr>
      <w:keepNext/>
      <w:keepLines/>
      <w:numPr>
        <w:ilvl w:val="7"/>
        <w:numId w:val="3"/>
      </w:numPr>
      <w:spacing w:before="240" w:after="64" w:line="319" w:lineRule="auto"/>
      <w:ind w:firstLineChars="0" w:firstLine="0"/>
      <w:outlineLvl w:val="7"/>
    </w:pPr>
    <w:rPr>
      <w:rFonts w:ascii="Arial" w:eastAsia="黑体" w:hAnsi="Arial"/>
      <w:b/>
      <w:sz w:val="24"/>
    </w:rPr>
  </w:style>
  <w:style w:type="paragraph" w:styleId="9">
    <w:name w:val="heading 9"/>
    <w:basedOn w:val="a"/>
    <w:next w:val="0"/>
    <w:pPr>
      <w:keepNext/>
      <w:keepLines/>
      <w:numPr>
        <w:ilvl w:val="8"/>
        <w:numId w:val="3"/>
      </w:numPr>
      <w:spacing w:before="240" w:after="64" w:line="319" w:lineRule="auto"/>
      <w:ind w:firstLineChars="0" w:firstLine="0"/>
      <w:outlineLvl w:val="8"/>
    </w:pPr>
    <w:rPr>
      <w:rFonts w:ascii="Arial" w:eastAsia="黑体"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表格样式"/>
    <w:basedOn w:val="a"/>
    <w:rPr>
      <w:szCs w:val="21"/>
    </w:rPr>
  </w:style>
  <w:style w:type="paragraph" w:customStyle="1" w:styleId="01">
    <w:name w:val="0表头样式"/>
    <w:basedOn w:val="00"/>
    <w:pPr>
      <w:jc w:val="center"/>
    </w:pPr>
    <w:rPr>
      <w:b/>
    </w:rPr>
  </w:style>
  <w:style w:type="paragraph" w:customStyle="1" w:styleId="0">
    <w:name w:val="0段落文字"/>
    <w:basedOn w:val="a"/>
    <w:rPr>
      <w:szCs w:val="21"/>
    </w:rPr>
  </w:style>
  <w:style w:type="paragraph" w:customStyle="1" w:styleId="02">
    <w:name w:val="0图片样式"/>
    <w:pPr>
      <w:widowControl w:val="0"/>
      <w:adjustRightInd w:val="0"/>
      <w:jc w:val="center"/>
      <w:textAlignment w:val="baseline"/>
    </w:pPr>
    <w:rPr>
      <w:rFonts w:ascii="Calibri" w:hAnsi="Calibri"/>
      <w:b/>
      <w:kern w:val="2"/>
      <w:sz w:val="24"/>
      <w:szCs w:val="28"/>
    </w:rPr>
  </w:style>
  <w:style w:type="paragraph" w:customStyle="1" w:styleId="03">
    <w:name w:val="0图序、图名"/>
    <w:basedOn w:val="a"/>
    <w:pPr>
      <w:spacing w:before="120" w:after="240"/>
      <w:jc w:val="center"/>
    </w:pPr>
    <w:rPr>
      <w:b/>
      <w:szCs w:val="21"/>
    </w:rPr>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Body Text"/>
    <w:basedOn w:val="a"/>
    <w:pPr>
      <w:spacing w:after="120"/>
    </w:pPr>
  </w:style>
  <w:style w:type="character" w:customStyle="1" w:styleId="21">
    <w:name w:val="标题 2 字符1"/>
    <w:rPr>
      <w:rFonts w:ascii="Cambria" w:eastAsia="宋体" w:hAnsi="Cambria" w:cs="Times New Roman"/>
      <w:b/>
      <w:bCs/>
      <w:sz w:val="32"/>
      <w:szCs w:val="32"/>
    </w:rPr>
  </w:style>
  <w:style w:type="character" w:customStyle="1" w:styleId="31">
    <w:name w:val="标题 3 字符1"/>
    <w:rPr>
      <w:rFonts w:ascii="Calibri" w:hAnsi="Calibri"/>
      <w:b/>
      <w:bCs/>
      <w:sz w:val="32"/>
      <w:szCs w:val="32"/>
    </w:rPr>
  </w:style>
  <w:style w:type="paragraph" w:customStyle="1" w:styleId="10">
    <w:name w:val="列表段落1"/>
    <w:basedOn w:val="a"/>
    <w:pPr>
      <w:spacing w:line="240" w:lineRule="auto"/>
    </w:pPr>
  </w:style>
  <w:style w:type="character" w:customStyle="1" w:styleId="NormalCharacter">
    <w:name w:val="NormalCharacter"/>
    <w:rPr>
      <w:kern w:val="2"/>
      <w:sz w:val="21"/>
      <w:szCs w:val="21"/>
      <w:lang w:val="en-US" w:eastAsia="zh-CN" w:bidi="ar-SA"/>
    </w:rPr>
  </w:style>
  <w:style w:type="paragraph" w:customStyle="1" w:styleId="a6">
    <w:name w:val="正文内容"/>
    <w:basedOn w:val="a"/>
    <w:rPr>
      <w:sz w:val="24"/>
      <w:szCs w:val="21"/>
      <w:lang w:val="zh-CN"/>
    </w:rPr>
  </w:style>
  <w:style w:type="paragraph" w:customStyle="1" w:styleId="11">
    <w:name w:val="正文_1"/>
    <w:pPr>
      <w:widowControl w:val="0"/>
      <w:jc w:val="both"/>
    </w:pPr>
    <w:rPr>
      <w:rFonts w:ascii="Calibri" w:hAnsi="Calibri"/>
      <w:kern w:val="2"/>
      <w:sz w:val="21"/>
      <w:szCs w:val="22"/>
    </w:rPr>
  </w:style>
  <w:style w:type="paragraph" w:customStyle="1" w:styleId="04">
    <w:name w:val="正文_0"/>
    <w:pPr>
      <w:widowControl w:val="0"/>
      <w:jc w:val="both"/>
    </w:pPr>
    <w:rPr>
      <w:kern w:val="2"/>
      <w:sz w:val="21"/>
      <w:szCs w:val="24"/>
    </w:rPr>
  </w:style>
  <w:style w:type="paragraph" w:customStyle="1" w:styleId="000">
    <w:name w:val="正文_0_0_0"/>
    <w:pPr>
      <w:widowControl w:val="0"/>
      <w:jc w:val="both"/>
    </w:pPr>
    <w:rPr>
      <w:rFonts w:ascii="Calibri" w:hAnsi="Calibri"/>
      <w:kern w:val="2"/>
      <w:sz w:val="21"/>
      <w:szCs w:val="22"/>
    </w:rPr>
  </w:style>
  <w:style w:type="paragraph" w:styleId="TOC7">
    <w:name w:val="toc 7"/>
    <w:basedOn w:val="a"/>
    <w:next w:val="a"/>
    <w:autoRedefine/>
    <w:pPr>
      <w:spacing w:line="240" w:lineRule="auto"/>
      <w:ind w:left="1260" w:firstLineChars="0" w:firstLine="0"/>
      <w:jc w:val="left"/>
    </w:pPr>
    <w:rPr>
      <w:rFonts w:ascii="等线" w:eastAsia="等线" w:cs="Arial"/>
      <w:sz w:val="18"/>
      <w:szCs w:val="18"/>
    </w:rPr>
  </w:style>
  <w:style w:type="character" w:styleId="a7">
    <w:name w:val="annotation reference"/>
    <w:basedOn w:val="a0"/>
    <w:rPr>
      <w:sz w:val="21"/>
      <w:szCs w:val="21"/>
    </w:rPr>
  </w:style>
  <w:style w:type="paragraph" w:customStyle="1" w:styleId="TableParagraph">
    <w:name w:val="Table Paragraph"/>
    <w:basedOn w:val="a"/>
    <w:pPr>
      <w:autoSpaceDE w:val="0"/>
      <w:autoSpaceDN w:val="0"/>
      <w:spacing w:line="240" w:lineRule="auto"/>
      <w:ind w:firstLineChars="0" w:firstLine="0"/>
      <w:jc w:val="left"/>
    </w:pPr>
    <w:rPr>
      <w:rFonts w:ascii="宋体" w:cs="宋体"/>
      <w:kern w:val="0"/>
      <w:sz w:val="22"/>
      <w:szCs w:val="22"/>
      <w:lang w:val="zh-CN" w:bidi="zh-CN"/>
    </w:rPr>
  </w:style>
  <w:style w:type="paragraph" w:styleId="a8">
    <w:name w:val="annotation text"/>
    <w:basedOn w:val="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aidu.com/s?wd=%E4%B8%9A%E5%8A%A1%E6%B5%81%E7%A8%8B%E5%9B%BE&amp;tn=SE_PcZhidaonwhc_ngpagmjz&amp;rsv_dl=gh_pc_zhida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yiyubin</dc:creator>
  <cp:lastModifiedBy>admin</cp:lastModifiedBy>
  <cp:revision>3</cp:revision>
  <dcterms:created xsi:type="dcterms:W3CDTF">2024-11-19T08:04:00Z</dcterms:created>
  <dcterms:modified xsi:type="dcterms:W3CDTF">2024-11-22T06:44:00Z</dcterms:modified>
</cp:coreProperties>
</file>